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F1AF" w14:textId="52171DE6" w:rsidR="00EB71A5" w:rsidRDefault="00981F63" w:rsidP="00EB71A5">
      <w:pPr>
        <w:pStyle w:val="NoSpacing"/>
        <w:jc w:val="both"/>
        <w:rPr>
          <w:rFonts w:ascii="Arial" w:hAnsi="Arial" w:cs="Arial"/>
          <w:b/>
          <w:bCs/>
          <w:lang w:val="en-GB" w:eastAsia="fr-FR"/>
        </w:rPr>
      </w:pPr>
      <w:r w:rsidRPr="00EB71A5">
        <w:rPr>
          <w:rFonts w:ascii="Arial" w:hAnsi="Arial" w:cs="Arial"/>
          <w:b/>
          <w:bCs/>
          <w:lang w:val="en-GB" w:eastAsia="fr-FR"/>
        </w:rPr>
        <w:t>Question</w:t>
      </w:r>
      <w:r w:rsidR="00E530F0" w:rsidRPr="00EB71A5">
        <w:rPr>
          <w:rFonts w:ascii="Arial" w:hAnsi="Arial" w:cs="Arial"/>
          <w:b/>
          <w:bCs/>
          <w:lang w:val="en-GB" w:eastAsia="fr-FR"/>
        </w:rPr>
        <w:t>s Mock exam</w:t>
      </w:r>
      <w:r w:rsidR="005B37EE">
        <w:rPr>
          <w:rFonts w:ascii="Arial" w:hAnsi="Arial" w:cs="Arial"/>
          <w:b/>
          <w:bCs/>
          <w:lang w:val="en-GB" w:eastAsia="fr-FR"/>
        </w:rPr>
        <w:t xml:space="preserve"> Bio-480 December 1</w:t>
      </w:r>
      <w:r w:rsidR="00ED22FB">
        <w:rPr>
          <w:rFonts w:ascii="Arial" w:hAnsi="Arial" w:cs="Arial"/>
          <w:b/>
          <w:bCs/>
          <w:lang w:val="en-GB" w:eastAsia="fr-FR"/>
        </w:rPr>
        <w:t>5</w:t>
      </w:r>
      <w:r w:rsidR="005B37EE">
        <w:rPr>
          <w:rFonts w:ascii="Arial" w:hAnsi="Arial" w:cs="Arial"/>
          <w:b/>
          <w:bCs/>
          <w:lang w:val="en-GB" w:eastAsia="fr-FR"/>
        </w:rPr>
        <w:t>122</w:t>
      </w:r>
      <w:r w:rsidR="00ED22FB">
        <w:rPr>
          <w:rFonts w:ascii="Arial" w:hAnsi="Arial" w:cs="Arial"/>
          <w:b/>
          <w:bCs/>
          <w:lang w:val="en-GB" w:eastAsia="fr-FR"/>
        </w:rPr>
        <w:t>5</w:t>
      </w:r>
    </w:p>
    <w:p w14:paraId="427995EE" w14:textId="5BE2E807" w:rsidR="00963ECA" w:rsidRPr="00963ECA" w:rsidRDefault="00981F63" w:rsidP="00ED22FB">
      <w:pPr>
        <w:pStyle w:val="NoSpacing"/>
        <w:jc w:val="both"/>
        <w:rPr>
          <w:rFonts w:ascii="Arial" w:hAnsi="Arial" w:cs="Arial"/>
          <w:lang w:val="en-US"/>
        </w:rPr>
      </w:pPr>
      <w:r w:rsidRPr="00EB71A5">
        <w:rPr>
          <w:rFonts w:ascii="Arial" w:hAnsi="Arial" w:cs="Arial"/>
          <w:lang w:val="en-GB" w:eastAsia="fr-FR"/>
        </w:rPr>
        <w:br/>
      </w:r>
    </w:p>
    <w:p w14:paraId="0602D6CD" w14:textId="06B33523" w:rsidR="00317419" w:rsidRDefault="000F30EB" w:rsidP="00EB71A5">
      <w:pPr>
        <w:pStyle w:val="NoSpacing"/>
        <w:jc w:val="both"/>
        <w:rPr>
          <w:rFonts w:ascii="Arial" w:hAnsi="Arial" w:cs="Arial"/>
          <w:b/>
          <w:bCs/>
          <w:lang w:val="en-GB"/>
        </w:rPr>
      </w:pPr>
      <w:r w:rsidRPr="00EB71A5">
        <w:rPr>
          <w:rFonts w:ascii="Arial" w:hAnsi="Arial" w:cs="Arial"/>
          <w:b/>
          <w:bCs/>
          <w:lang w:val="en-GB"/>
        </w:rPr>
        <w:t>Answers</w:t>
      </w:r>
    </w:p>
    <w:p w14:paraId="240A2EB2" w14:textId="77777777" w:rsidR="00EB71A5" w:rsidRPr="00EB71A5" w:rsidRDefault="00EB71A5" w:rsidP="00EB71A5">
      <w:pPr>
        <w:pStyle w:val="NoSpacing"/>
        <w:jc w:val="both"/>
        <w:rPr>
          <w:rFonts w:ascii="Arial" w:hAnsi="Arial" w:cs="Arial"/>
          <w:b/>
          <w:bCs/>
          <w:lang w:val="en-GB"/>
        </w:rPr>
      </w:pPr>
    </w:p>
    <w:p w14:paraId="79E486AA" w14:textId="345294C4" w:rsidR="000F30EB" w:rsidRDefault="000F30EB" w:rsidP="00DF55D9">
      <w:pPr>
        <w:pStyle w:val="NoSpacing"/>
        <w:numPr>
          <w:ilvl w:val="0"/>
          <w:numId w:val="15"/>
        </w:numPr>
        <w:ind w:left="284" w:hanging="284"/>
        <w:jc w:val="both"/>
        <w:rPr>
          <w:rFonts w:ascii="Arial" w:hAnsi="Arial" w:cs="Arial"/>
          <w:b/>
          <w:bCs/>
          <w:lang w:val="en-GB" w:eastAsia="fr-FR"/>
        </w:rPr>
      </w:pPr>
      <w:r w:rsidRPr="00EB71A5">
        <w:rPr>
          <w:rFonts w:ascii="Arial" w:hAnsi="Arial" w:cs="Arial"/>
          <w:b/>
          <w:bCs/>
          <w:lang w:val="en-GB" w:eastAsia="fr-FR"/>
        </w:rPr>
        <w:t xml:space="preserve">Summarize the Braak hypothesis and its implications for early detection of Parkinson’s disease. </w:t>
      </w:r>
    </w:p>
    <w:p w14:paraId="12C540C6" w14:textId="77777777" w:rsidR="00EB71A5" w:rsidRPr="00EB71A5" w:rsidRDefault="00EB71A5" w:rsidP="00EB71A5">
      <w:pPr>
        <w:pStyle w:val="NoSpacing"/>
        <w:ind w:left="720"/>
        <w:jc w:val="both"/>
        <w:rPr>
          <w:rFonts w:ascii="Arial" w:hAnsi="Arial" w:cs="Arial"/>
          <w:b/>
          <w:bCs/>
          <w:lang w:val="en-GB" w:eastAsia="fr-FR"/>
        </w:rPr>
      </w:pPr>
    </w:p>
    <w:p w14:paraId="4E48AAE2" w14:textId="40878BD2" w:rsidR="000F30EB" w:rsidRPr="00EB71A5" w:rsidRDefault="000F30EB" w:rsidP="00EB71A5">
      <w:pPr>
        <w:pStyle w:val="NoSpacing"/>
        <w:numPr>
          <w:ilvl w:val="0"/>
          <w:numId w:val="16"/>
        </w:numPr>
        <w:jc w:val="both"/>
        <w:rPr>
          <w:rFonts w:ascii="Arial" w:eastAsia="Times New Roman" w:hAnsi="Arial" w:cs="Arial"/>
          <w:b/>
          <w:bCs/>
          <w:lang w:val="en-GB" w:eastAsia="fr-FR"/>
        </w:rPr>
      </w:pPr>
      <w:r w:rsidRPr="00EB71A5">
        <w:rPr>
          <w:rFonts w:ascii="Arial" w:eastAsia="Times New Roman" w:hAnsi="Arial" w:cs="Arial"/>
          <w:b/>
          <w:bCs/>
          <w:lang w:val="en-GB" w:eastAsia="fr-FR"/>
        </w:rPr>
        <w:t>The Braak hypothesis: definition</w:t>
      </w:r>
    </w:p>
    <w:p w14:paraId="38BEE2AE" w14:textId="6A4D2569" w:rsidR="000F30EB" w:rsidRPr="00963ECA" w:rsidRDefault="000F30EB" w:rsidP="00EB71A5">
      <w:pPr>
        <w:pStyle w:val="NoSpacing"/>
        <w:jc w:val="both"/>
        <w:rPr>
          <w:rFonts w:ascii="Arial" w:eastAsia="Times New Roman" w:hAnsi="Arial" w:cs="Arial"/>
          <w:lang w:val="en-US" w:eastAsia="fr-FR"/>
        </w:rPr>
      </w:pPr>
      <w:r w:rsidRPr="00EB71A5">
        <w:rPr>
          <w:rFonts w:ascii="Arial" w:eastAsia="Times New Roman" w:hAnsi="Arial" w:cs="Arial"/>
          <w:lang w:val="en-GB" w:eastAsia="fr-FR"/>
        </w:rPr>
        <w:t xml:space="preserve">The Braak hypothesis provides a neuropathological framework to explain the progression of Parkinson’s disease (PD) based on the staging of Lewy body pathology. According to this hypothesis, PD begins in the peripheral nervous system and gradually ascends through specific regions of the central nervous system, eventually reaching the brain areas responsible for motor control and advanced non-motor functions. </w:t>
      </w:r>
      <w:r w:rsidRPr="00963ECA">
        <w:rPr>
          <w:rFonts w:ascii="Arial" w:eastAsia="Times New Roman" w:hAnsi="Arial" w:cs="Arial"/>
          <w:lang w:val="en-US" w:eastAsia="fr-FR"/>
        </w:rPr>
        <w:t>This progression is mapped out in six stages:</w:t>
      </w:r>
    </w:p>
    <w:p w14:paraId="2CA11140" w14:textId="77777777" w:rsidR="00EB71A5" w:rsidRPr="00963ECA" w:rsidRDefault="00EB71A5" w:rsidP="00EB71A5">
      <w:pPr>
        <w:pStyle w:val="NoSpacing"/>
        <w:jc w:val="both"/>
        <w:rPr>
          <w:rFonts w:ascii="Arial" w:eastAsia="Times New Roman" w:hAnsi="Arial" w:cs="Arial"/>
          <w:lang w:val="en-US" w:eastAsia="fr-FR"/>
        </w:rPr>
      </w:pPr>
    </w:p>
    <w:p w14:paraId="0E0B1032" w14:textId="3A1F9180"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Stages 1 and 2: Pathology starts in the olfactory bulb and the dorsal motor nucleus of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These areas are responsible for the early non-motor symptoms like loss of smell (anosmia) and gastrointestinal dysfunction (e.g., constipation).</w:t>
      </w:r>
    </w:p>
    <w:p w14:paraId="681DBFC0" w14:textId="77777777" w:rsidR="00EB71A5" w:rsidRPr="00EB71A5" w:rsidRDefault="00EB71A5" w:rsidP="00EB71A5">
      <w:pPr>
        <w:pStyle w:val="NoSpacing"/>
        <w:jc w:val="both"/>
        <w:rPr>
          <w:rFonts w:ascii="Arial" w:eastAsia="Times New Roman" w:hAnsi="Arial" w:cs="Arial"/>
          <w:lang w:val="en-GB" w:eastAsia="fr-FR"/>
        </w:rPr>
      </w:pPr>
    </w:p>
    <w:p w14:paraId="5978FF9E" w14:textId="58522A4D"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Stages 3 and 4: The pathology spreads to the substantia nigra, leading to the classic motor symptoms such as bradykinesia, rigidity, and tremor.</w:t>
      </w:r>
    </w:p>
    <w:p w14:paraId="632DA7FC" w14:textId="77777777" w:rsidR="00EB71A5" w:rsidRPr="00EB71A5" w:rsidRDefault="00EB71A5" w:rsidP="00EB71A5">
      <w:pPr>
        <w:pStyle w:val="NoSpacing"/>
        <w:jc w:val="both"/>
        <w:rPr>
          <w:rFonts w:ascii="Arial" w:eastAsia="Times New Roman" w:hAnsi="Arial" w:cs="Arial"/>
          <w:lang w:val="en-GB" w:eastAsia="fr-FR"/>
        </w:rPr>
      </w:pPr>
    </w:p>
    <w:p w14:paraId="11F325BF" w14:textId="69924A7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Stages 5 and 6: In advanced stages, higher cortical areas, including the neocortex, are affected, leading to cognitive impairment and dementia.</w:t>
      </w:r>
    </w:p>
    <w:p w14:paraId="2C404C04" w14:textId="77777777" w:rsidR="00EB71A5" w:rsidRPr="00EB71A5" w:rsidRDefault="00EB71A5" w:rsidP="00EB71A5">
      <w:pPr>
        <w:pStyle w:val="NoSpacing"/>
        <w:jc w:val="both"/>
        <w:rPr>
          <w:rFonts w:ascii="Arial" w:eastAsia="Times New Roman" w:hAnsi="Arial" w:cs="Arial"/>
          <w:lang w:val="en-GB" w:eastAsia="fr-FR"/>
        </w:rPr>
      </w:pPr>
    </w:p>
    <w:p w14:paraId="37FBBF98" w14:textId="39B10E8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The Braak hypothesis emphasizes that by the time motor symptoms appear, the disease has already progressed significantly, underlining the critical need for early detection.</w:t>
      </w:r>
    </w:p>
    <w:p w14:paraId="5887C336" w14:textId="77777777" w:rsidR="00EB71A5" w:rsidRPr="00EB71A5" w:rsidRDefault="00EB71A5" w:rsidP="00EB71A5">
      <w:pPr>
        <w:pStyle w:val="NoSpacing"/>
        <w:jc w:val="both"/>
        <w:rPr>
          <w:rFonts w:ascii="Arial" w:eastAsia="Times New Roman" w:hAnsi="Arial" w:cs="Arial"/>
          <w:lang w:val="en-GB" w:eastAsia="fr-FR"/>
        </w:rPr>
      </w:pPr>
    </w:p>
    <w:p w14:paraId="0F50EAA1" w14:textId="6E3EC8CE"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The Braak hypothesis also support the prion-like hypothesis and provides a mechanistic explanation for the pathological spread in PD. It posits that misfolded alpha-synuclein, a key protein in PD, acts similarly to prions, spreading from cell to cell in a template-driven manner. Misfolded alpha-synuclein aggregates form Lewy bodies, which are a hallmark of PD. The spread of these aggregates follows a predictable pathway that mirrors the Braak staging.</w:t>
      </w:r>
    </w:p>
    <w:p w14:paraId="79AA72BB" w14:textId="77777777" w:rsidR="009F6982" w:rsidRPr="00EB71A5" w:rsidRDefault="009F6982" w:rsidP="00EB71A5">
      <w:pPr>
        <w:pStyle w:val="NoSpacing"/>
        <w:jc w:val="both"/>
        <w:rPr>
          <w:rFonts w:ascii="Arial" w:eastAsia="Times New Roman" w:hAnsi="Arial" w:cs="Arial"/>
          <w:lang w:val="en-GB" w:eastAsia="fr-FR"/>
        </w:rPr>
      </w:pPr>
    </w:p>
    <w:p w14:paraId="2E45DB5C" w14:textId="1B005F5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Peripheral origin: According to this theory, alpha-synuclein pathology may originate outside the brain, such as in the gut or olfactory system, due to environmental exposures like pesticides, infections, or microbiome imbalances. These misfolded proteins can then travel to the central nervous system via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or other neural pathways.</w:t>
      </w:r>
    </w:p>
    <w:p w14:paraId="7856DD6D" w14:textId="77777777" w:rsidR="009F6982" w:rsidRPr="00EB71A5" w:rsidRDefault="009F6982" w:rsidP="00EB71A5">
      <w:pPr>
        <w:pStyle w:val="NoSpacing"/>
        <w:jc w:val="both"/>
        <w:rPr>
          <w:rFonts w:ascii="Arial" w:eastAsia="Times New Roman" w:hAnsi="Arial" w:cs="Arial"/>
          <w:lang w:val="en-GB" w:eastAsia="fr-FR"/>
        </w:rPr>
      </w:pPr>
    </w:p>
    <w:p w14:paraId="48FD2D17" w14:textId="3779A7B8"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Ascension in the nervous system: Once the misfolded alpha-synuclein reaches the brainstem, it spreads progressively to higher regions, consistent with the Braak hypothesis. This prion-like </w:t>
      </w:r>
      <w:proofErr w:type="spellStart"/>
      <w:r w:rsidRPr="00EB71A5">
        <w:rPr>
          <w:rFonts w:ascii="Arial" w:eastAsia="Times New Roman" w:hAnsi="Arial" w:cs="Arial"/>
          <w:lang w:val="en-GB" w:eastAsia="fr-FR"/>
        </w:rPr>
        <w:t>behavior</w:t>
      </w:r>
      <w:proofErr w:type="spellEnd"/>
      <w:r w:rsidRPr="00EB71A5">
        <w:rPr>
          <w:rFonts w:ascii="Arial" w:eastAsia="Times New Roman" w:hAnsi="Arial" w:cs="Arial"/>
          <w:lang w:val="en-GB" w:eastAsia="fr-FR"/>
        </w:rPr>
        <w:t xml:space="preserve"> explains the ordered progression of symptoms, from non-motor to motor and eventually cognitive.</w:t>
      </w:r>
    </w:p>
    <w:p w14:paraId="512400E7" w14:textId="77777777" w:rsidR="009F6982" w:rsidRPr="00EB71A5" w:rsidRDefault="009F6982" w:rsidP="00EB71A5">
      <w:pPr>
        <w:pStyle w:val="NoSpacing"/>
        <w:jc w:val="both"/>
        <w:rPr>
          <w:rFonts w:ascii="Arial" w:eastAsia="Times New Roman" w:hAnsi="Arial" w:cs="Arial"/>
          <w:lang w:val="en-GB" w:eastAsia="fr-FR"/>
        </w:rPr>
      </w:pPr>
    </w:p>
    <w:p w14:paraId="33B7AEF0" w14:textId="539A9984" w:rsidR="000F30EB" w:rsidRPr="009F6982" w:rsidRDefault="000F30EB" w:rsidP="009F6982">
      <w:pPr>
        <w:pStyle w:val="NoSpacing"/>
        <w:numPr>
          <w:ilvl w:val="0"/>
          <w:numId w:val="16"/>
        </w:numPr>
        <w:jc w:val="both"/>
        <w:rPr>
          <w:rFonts w:ascii="Arial" w:eastAsia="Times New Roman" w:hAnsi="Arial" w:cs="Arial"/>
          <w:b/>
          <w:bCs/>
          <w:lang w:val="en-GB" w:eastAsia="fr-FR"/>
        </w:rPr>
      </w:pPr>
      <w:r w:rsidRPr="009F6982">
        <w:rPr>
          <w:rFonts w:ascii="Arial" w:eastAsia="Times New Roman" w:hAnsi="Arial" w:cs="Arial"/>
          <w:b/>
          <w:bCs/>
          <w:lang w:val="en-GB" w:eastAsia="fr-FR"/>
        </w:rPr>
        <w:t xml:space="preserve">Implications for </w:t>
      </w:r>
      <w:r w:rsidR="009F6982">
        <w:rPr>
          <w:rFonts w:ascii="Arial" w:eastAsia="Times New Roman" w:hAnsi="Arial" w:cs="Arial"/>
          <w:b/>
          <w:bCs/>
          <w:lang w:val="en-GB" w:eastAsia="fr-FR"/>
        </w:rPr>
        <w:t>e</w:t>
      </w:r>
      <w:r w:rsidRPr="009F6982">
        <w:rPr>
          <w:rFonts w:ascii="Arial" w:eastAsia="Times New Roman" w:hAnsi="Arial" w:cs="Arial"/>
          <w:b/>
          <w:bCs/>
          <w:lang w:val="en-GB" w:eastAsia="fr-FR"/>
        </w:rPr>
        <w:t>arly detection</w:t>
      </w:r>
    </w:p>
    <w:p w14:paraId="28BEF006" w14:textId="77777777"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The Braak hypothesis, combined with the prion-like mechanism, offers several avenues for early detection of PD:</w:t>
      </w:r>
    </w:p>
    <w:p w14:paraId="400AF0EB" w14:textId="597D76F8"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Peripheral biomarkers: Since pathology begins in the gut and olfactory system, detecting alpha-synuclein aggregates in accessible tissues such as colonic biopsies or olfactory mucosa could provide an early diagnostic tool.</w:t>
      </w:r>
    </w:p>
    <w:p w14:paraId="7EC93FEF" w14:textId="244EA3D0"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Non-motor symptoms: Identifying individuals with anosmia, REM sleep </w:t>
      </w:r>
      <w:proofErr w:type="spellStart"/>
      <w:r w:rsidRPr="00EB71A5">
        <w:rPr>
          <w:rFonts w:ascii="Arial" w:eastAsia="Times New Roman" w:hAnsi="Arial" w:cs="Arial"/>
          <w:lang w:val="en-GB" w:eastAsia="fr-FR"/>
        </w:rPr>
        <w:t>behavior</w:t>
      </w:r>
      <w:proofErr w:type="spellEnd"/>
      <w:r w:rsidRPr="00EB71A5">
        <w:rPr>
          <w:rFonts w:ascii="Arial" w:eastAsia="Times New Roman" w:hAnsi="Arial" w:cs="Arial"/>
          <w:lang w:val="en-GB" w:eastAsia="fr-FR"/>
        </w:rPr>
        <w:t xml:space="preserve"> disorder (RBD), or gastrointestinal dysfunction as part of a pre-motor diagnostic strategy could help identify PD at its earliest stages.</w:t>
      </w:r>
    </w:p>
    <w:p w14:paraId="09A6A87E" w14:textId="2F93F11A"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lastRenderedPageBreak/>
        <w:t>Longitudinal monitoring: The predictable progression of pathology enables targeted surveillance of high-risk individuals over time, such as those with genetic predispositions (e.g., LRRK2, GBA mutations).</w:t>
      </w:r>
    </w:p>
    <w:p w14:paraId="1A813E15" w14:textId="3C319089"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However, while the Braak hypothesis aligns well with clinical observations, it does not account for all cases of PD, particularly those where pathology does not follow the proposed progression (e.g., LRRK2 without LB pathology). Despite these limitations, the hypothesis provides a valuable framework for understanding PD's temporal evolution and emphasizes the importance of targeting the disease in its earliest stages to slow or prevent progression.</w:t>
      </w:r>
    </w:p>
    <w:p w14:paraId="5482BA13" w14:textId="77777777" w:rsidR="009F6982" w:rsidRDefault="009F6982" w:rsidP="00EB71A5">
      <w:pPr>
        <w:pStyle w:val="NoSpacing"/>
        <w:jc w:val="both"/>
        <w:rPr>
          <w:rFonts w:ascii="Arial" w:eastAsia="Times New Roman" w:hAnsi="Arial" w:cs="Arial"/>
          <w:lang w:val="en-GB" w:eastAsia="fr-FR"/>
        </w:rPr>
      </w:pPr>
    </w:p>
    <w:p w14:paraId="720414C0" w14:textId="77777777" w:rsidR="00DF55D9" w:rsidRPr="00EB71A5" w:rsidRDefault="00DF55D9" w:rsidP="00EB71A5">
      <w:pPr>
        <w:pStyle w:val="NoSpacing"/>
        <w:jc w:val="both"/>
        <w:rPr>
          <w:rFonts w:ascii="Arial" w:eastAsia="Times New Roman" w:hAnsi="Arial" w:cs="Arial"/>
          <w:lang w:val="en-GB" w:eastAsia="fr-FR"/>
        </w:rPr>
      </w:pPr>
    </w:p>
    <w:p w14:paraId="6FCCE2A6" w14:textId="6A0AEA00" w:rsidR="00EB71A5" w:rsidRPr="009F6982" w:rsidRDefault="009F6982" w:rsidP="00EB71A5">
      <w:pPr>
        <w:pStyle w:val="NoSpacing"/>
        <w:jc w:val="both"/>
        <w:rPr>
          <w:rFonts w:ascii="Arial" w:hAnsi="Arial" w:cs="Arial"/>
          <w:b/>
          <w:bCs/>
          <w:lang w:val="en-GB" w:eastAsia="fr-FR"/>
        </w:rPr>
      </w:pPr>
      <w:r w:rsidRPr="009F6982">
        <w:rPr>
          <w:rFonts w:ascii="Arial" w:hAnsi="Arial" w:cs="Arial"/>
          <w:b/>
          <w:bCs/>
          <w:lang w:val="en-GB" w:eastAsia="fr-FR"/>
        </w:rPr>
        <w:t>2</w:t>
      </w:r>
      <w:r w:rsidR="00EB71A5" w:rsidRPr="009F6982">
        <w:rPr>
          <w:rFonts w:ascii="Arial" w:hAnsi="Arial" w:cs="Arial"/>
          <w:b/>
          <w:bCs/>
          <w:lang w:val="en-GB" w:eastAsia="fr-FR"/>
        </w:rPr>
        <w:t xml:space="preserve">) Provide two clinical signs that may correlate with early Braak stages and its implication for early detection. </w:t>
      </w:r>
    </w:p>
    <w:p w14:paraId="13D8D5FB" w14:textId="70109383" w:rsidR="000F30EB" w:rsidRPr="00EB71A5" w:rsidRDefault="000F30EB" w:rsidP="00EB71A5">
      <w:pPr>
        <w:pStyle w:val="NoSpacing"/>
        <w:jc w:val="both"/>
        <w:rPr>
          <w:rFonts w:ascii="Arial" w:hAnsi="Arial" w:cs="Arial"/>
          <w:lang w:val="en-GB"/>
        </w:rPr>
      </w:pPr>
    </w:p>
    <w:p w14:paraId="65E065BE" w14:textId="46393A41" w:rsidR="00EB71A5" w:rsidRPr="009F6982" w:rsidRDefault="00EB71A5" w:rsidP="009F6982">
      <w:pPr>
        <w:pStyle w:val="NoSpacing"/>
        <w:numPr>
          <w:ilvl w:val="0"/>
          <w:numId w:val="16"/>
        </w:numPr>
        <w:jc w:val="both"/>
        <w:rPr>
          <w:rFonts w:ascii="Arial" w:eastAsia="Times New Roman" w:hAnsi="Arial" w:cs="Arial"/>
          <w:b/>
          <w:bCs/>
          <w:lang w:eastAsia="fr-FR"/>
        </w:rPr>
      </w:pPr>
      <w:proofErr w:type="spellStart"/>
      <w:r w:rsidRPr="009F6982">
        <w:rPr>
          <w:rFonts w:ascii="Arial" w:eastAsia="Times New Roman" w:hAnsi="Arial" w:cs="Arial"/>
          <w:b/>
          <w:bCs/>
          <w:lang w:eastAsia="fr-FR"/>
        </w:rPr>
        <w:t>Olfactory</w:t>
      </w:r>
      <w:proofErr w:type="spellEnd"/>
      <w:r w:rsidRPr="009F6982">
        <w:rPr>
          <w:rFonts w:ascii="Arial" w:eastAsia="Times New Roman" w:hAnsi="Arial" w:cs="Arial"/>
          <w:b/>
          <w:bCs/>
          <w:lang w:eastAsia="fr-FR"/>
        </w:rPr>
        <w:t xml:space="preserve"> </w:t>
      </w:r>
      <w:proofErr w:type="spellStart"/>
      <w:r w:rsidRPr="009F6982">
        <w:rPr>
          <w:rFonts w:ascii="Arial" w:eastAsia="Times New Roman" w:hAnsi="Arial" w:cs="Arial"/>
          <w:b/>
          <w:bCs/>
          <w:lang w:eastAsia="fr-FR"/>
        </w:rPr>
        <w:t>dysfunction</w:t>
      </w:r>
      <w:proofErr w:type="spellEnd"/>
      <w:r w:rsidRPr="009F6982">
        <w:rPr>
          <w:rFonts w:ascii="Arial" w:eastAsia="Times New Roman" w:hAnsi="Arial" w:cs="Arial"/>
          <w:b/>
          <w:bCs/>
          <w:lang w:eastAsia="fr-FR"/>
        </w:rPr>
        <w:t xml:space="preserve"> (</w:t>
      </w:r>
      <w:proofErr w:type="spellStart"/>
      <w:r w:rsidRPr="009F6982">
        <w:rPr>
          <w:rFonts w:ascii="Arial" w:eastAsia="Times New Roman" w:hAnsi="Arial" w:cs="Arial"/>
          <w:b/>
          <w:bCs/>
          <w:lang w:eastAsia="fr-FR"/>
        </w:rPr>
        <w:t>Anosmia</w:t>
      </w:r>
      <w:proofErr w:type="spellEnd"/>
      <w:r w:rsidRPr="009F6982">
        <w:rPr>
          <w:rFonts w:ascii="Arial" w:eastAsia="Times New Roman" w:hAnsi="Arial" w:cs="Arial"/>
          <w:b/>
          <w:bCs/>
          <w:lang w:eastAsia="fr-FR"/>
        </w:rPr>
        <w:t>):</w:t>
      </w:r>
    </w:p>
    <w:p w14:paraId="216721C3" w14:textId="77777777" w:rsidR="009F6982" w:rsidRDefault="009F6982" w:rsidP="00EB71A5">
      <w:pPr>
        <w:pStyle w:val="NoSpacing"/>
        <w:jc w:val="both"/>
        <w:rPr>
          <w:rFonts w:ascii="Arial" w:eastAsia="Times New Roman" w:hAnsi="Arial" w:cs="Arial"/>
          <w:lang w:val="en-GB" w:eastAsia="fr-FR"/>
        </w:rPr>
      </w:pPr>
    </w:p>
    <w:p w14:paraId="338E421A" w14:textId="77777777"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Description: </w:t>
      </w:r>
    </w:p>
    <w:p w14:paraId="4D0A50BC" w14:textId="0C8709C3"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A reduced or complete loss of the sense of smell is often observed in individuals during the earliest stages of Parkinson’s disease (Braak stages 1 and 2). This is linked to the early involvement of the olfactory bulb in alpha-synuclein pathology.</w:t>
      </w:r>
    </w:p>
    <w:p w14:paraId="5C61B33A" w14:textId="77777777" w:rsidR="009F6982" w:rsidRDefault="009F6982" w:rsidP="00EB71A5">
      <w:pPr>
        <w:pStyle w:val="NoSpacing"/>
        <w:jc w:val="both"/>
        <w:rPr>
          <w:rFonts w:ascii="Arial" w:eastAsia="Times New Roman" w:hAnsi="Arial" w:cs="Arial"/>
          <w:lang w:val="en-GB" w:eastAsia="fr-FR"/>
        </w:rPr>
      </w:pPr>
    </w:p>
    <w:p w14:paraId="51111435" w14:textId="1FC825E0"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Implications for early detection:</w:t>
      </w:r>
    </w:p>
    <w:p w14:paraId="2267158F" w14:textId="2B25A265" w:rsidR="00EB71A5" w:rsidRPr="00EB71A5"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Olfactory dysfunction can manifest years before motor symptoms, making it a critical early non-motor biomarker. Screening individuals for anosmia, particularly in high-risk populations (e.g., those with a family history or genetic predispositions), may help identify potential PD cases at a preclinical stage. Combined with other diagnostic tools, such as imaging or biochemical markers, it could significantly improve early diagnosis and intervention strategies.</w:t>
      </w:r>
    </w:p>
    <w:p w14:paraId="28EDB9FB" w14:textId="77777777" w:rsidR="009F6982" w:rsidRPr="00963ECA" w:rsidRDefault="009F6982" w:rsidP="00EB71A5">
      <w:pPr>
        <w:pStyle w:val="NoSpacing"/>
        <w:jc w:val="both"/>
        <w:rPr>
          <w:rFonts w:ascii="Arial" w:eastAsia="Times New Roman" w:hAnsi="Arial" w:cs="Arial"/>
          <w:lang w:val="en-US" w:eastAsia="fr-FR"/>
        </w:rPr>
      </w:pPr>
    </w:p>
    <w:p w14:paraId="67B2C0A0" w14:textId="62060DED" w:rsidR="00EB71A5" w:rsidRPr="009F6982" w:rsidRDefault="00EB71A5" w:rsidP="009F6982">
      <w:pPr>
        <w:pStyle w:val="NoSpacing"/>
        <w:numPr>
          <w:ilvl w:val="0"/>
          <w:numId w:val="16"/>
        </w:numPr>
        <w:jc w:val="both"/>
        <w:rPr>
          <w:rFonts w:ascii="Arial" w:eastAsia="Times New Roman" w:hAnsi="Arial" w:cs="Arial"/>
          <w:b/>
          <w:bCs/>
          <w:lang w:eastAsia="fr-FR"/>
        </w:rPr>
      </w:pPr>
      <w:r w:rsidRPr="009F6982">
        <w:rPr>
          <w:rFonts w:ascii="Arial" w:eastAsia="Times New Roman" w:hAnsi="Arial" w:cs="Arial"/>
          <w:b/>
          <w:bCs/>
          <w:lang w:eastAsia="fr-FR"/>
        </w:rPr>
        <w:t xml:space="preserve">Gastrointestinal </w:t>
      </w:r>
      <w:proofErr w:type="spellStart"/>
      <w:r w:rsidRPr="009F6982">
        <w:rPr>
          <w:rFonts w:ascii="Arial" w:eastAsia="Times New Roman" w:hAnsi="Arial" w:cs="Arial"/>
          <w:b/>
          <w:bCs/>
          <w:lang w:eastAsia="fr-FR"/>
        </w:rPr>
        <w:t>dysfunction</w:t>
      </w:r>
      <w:proofErr w:type="spellEnd"/>
      <w:r w:rsidRPr="009F6982">
        <w:rPr>
          <w:rFonts w:ascii="Arial" w:eastAsia="Times New Roman" w:hAnsi="Arial" w:cs="Arial"/>
          <w:b/>
          <w:bCs/>
          <w:lang w:eastAsia="fr-FR"/>
        </w:rPr>
        <w:t xml:space="preserve"> (Constipation):</w:t>
      </w:r>
    </w:p>
    <w:p w14:paraId="272B8BB8" w14:textId="77777777" w:rsidR="009F6982" w:rsidRDefault="009F6982" w:rsidP="00EB71A5">
      <w:pPr>
        <w:pStyle w:val="NoSpacing"/>
        <w:jc w:val="both"/>
        <w:rPr>
          <w:rFonts w:ascii="Arial" w:eastAsia="Times New Roman" w:hAnsi="Arial" w:cs="Arial"/>
          <w:lang w:val="en-GB" w:eastAsia="fr-FR"/>
        </w:rPr>
      </w:pPr>
    </w:p>
    <w:p w14:paraId="54C560F1" w14:textId="3324D5D1"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Description: </w:t>
      </w:r>
    </w:p>
    <w:p w14:paraId="4F94A45F" w14:textId="4C7F9008" w:rsidR="00EB71A5" w:rsidRP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Persistent constipation is a common early symptom related to alpha-synuclein pathology in the enteric nervous system and dorsal motor nucleus of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w:t>
      </w:r>
      <w:r w:rsidRPr="009F6982">
        <w:rPr>
          <w:rFonts w:ascii="Arial" w:eastAsia="Times New Roman" w:hAnsi="Arial" w:cs="Arial"/>
          <w:lang w:val="en-GB" w:eastAsia="fr-FR"/>
        </w:rPr>
        <w:t>It often precedes motor symptoms by several years.</w:t>
      </w:r>
    </w:p>
    <w:p w14:paraId="1054FC4C" w14:textId="77777777" w:rsidR="009F6982" w:rsidRDefault="009F6982" w:rsidP="00EB71A5">
      <w:pPr>
        <w:pStyle w:val="NoSpacing"/>
        <w:jc w:val="both"/>
        <w:rPr>
          <w:rFonts w:ascii="Arial" w:eastAsia="Times New Roman" w:hAnsi="Arial" w:cs="Arial"/>
          <w:lang w:val="en-GB" w:eastAsia="fr-FR"/>
        </w:rPr>
      </w:pPr>
    </w:p>
    <w:p w14:paraId="1E394F8D" w14:textId="77777777"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Implications for early detection:</w:t>
      </w:r>
    </w:p>
    <w:p w14:paraId="1472C015" w14:textId="17AD8DC5" w:rsidR="00EB71A5" w:rsidRPr="00EB71A5"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Chronic gastrointestinal issues, particularly when combined with other non-motor symptoms, may serve as an early warning sign of PD. Screening tools that focus on gastrointestinal health, coupled with biomarkers from gut biopsies (e.g., detection of misfolded alpha-synuclein in colonic tissue), could facilitate early diagnosis and provide a window of opportunity for disease-modifying interventions.</w:t>
      </w:r>
    </w:p>
    <w:p w14:paraId="2C17C090" w14:textId="77777777" w:rsidR="009F6982" w:rsidRDefault="009F6982" w:rsidP="00EB71A5">
      <w:pPr>
        <w:pStyle w:val="NoSpacing"/>
        <w:jc w:val="both"/>
        <w:rPr>
          <w:rFonts w:ascii="Arial" w:hAnsi="Arial" w:cs="Arial"/>
          <w:lang w:val="en-GB"/>
        </w:rPr>
      </w:pPr>
    </w:p>
    <w:p w14:paraId="46F7F250" w14:textId="098BBA06" w:rsidR="00EB71A5" w:rsidRDefault="00EB71A5" w:rsidP="00EB71A5">
      <w:pPr>
        <w:pStyle w:val="NoSpacing"/>
        <w:jc w:val="both"/>
        <w:rPr>
          <w:rFonts w:ascii="Arial" w:hAnsi="Arial" w:cs="Arial"/>
          <w:lang w:val="en-GB"/>
        </w:rPr>
      </w:pPr>
      <w:r w:rsidRPr="00EB71A5">
        <w:rPr>
          <w:rFonts w:ascii="Arial" w:hAnsi="Arial" w:cs="Arial"/>
          <w:lang w:val="en-GB"/>
        </w:rPr>
        <w:t>Both signs underscore the significance of non-motor symptoms in the early detection of Parkinson’s disease. Their presence reflects the early pathological stages described by the Braak hypothesis, offering clinicians and researchers vital clues for identifying and monitoring at-risk individuals before the onset of irreversible motor damage.</w:t>
      </w:r>
    </w:p>
    <w:p w14:paraId="506C2429" w14:textId="5FB42AA2" w:rsidR="009F6982" w:rsidRDefault="009F6982" w:rsidP="00EB71A5">
      <w:pPr>
        <w:pStyle w:val="NoSpacing"/>
        <w:jc w:val="both"/>
        <w:rPr>
          <w:rFonts w:ascii="Arial" w:hAnsi="Arial" w:cs="Arial"/>
          <w:lang w:val="en-GB"/>
        </w:rPr>
      </w:pPr>
    </w:p>
    <w:p w14:paraId="10AB7C25" w14:textId="5A120C0E" w:rsidR="00EB71A5" w:rsidRDefault="00EB71A5" w:rsidP="00EB71A5">
      <w:pPr>
        <w:pStyle w:val="NoSpacing"/>
        <w:jc w:val="both"/>
        <w:rPr>
          <w:rFonts w:ascii="Arial" w:hAnsi="Arial" w:cs="Arial"/>
          <w:lang w:val="en-GB"/>
        </w:rPr>
      </w:pPr>
    </w:p>
    <w:p w14:paraId="6A4203A7" w14:textId="77630176" w:rsidR="00EB71A5" w:rsidRPr="009F6982" w:rsidRDefault="009F6982" w:rsidP="00EB71A5">
      <w:pPr>
        <w:pStyle w:val="NoSpacing"/>
        <w:jc w:val="both"/>
        <w:rPr>
          <w:rFonts w:ascii="Arial" w:hAnsi="Arial" w:cs="Arial"/>
          <w:b/>
          <w:bCs/>
          <w:lang w:val="en-GB" w:eastAsia="fr-FR"/>
        </w:rPr>
      </w:pPr>
      <w:r>
        <w:rPr>
          <w:rFonts w:ascii="Arial" w:hAnsi="Arial" w:cs="Arial"/>
          <w:b/>
          <w:bCs/>
          <w:lang w:val="en-GB"/>
        </w:rPr>
        <w:t>3</w:t>
      </w:r>
      <w:r w:rsidR="00EB71A5" w:rsidRPr="009F6982">
        <w:rPr>
          <w:rFonts w:ascii="Arial" w:hAnsi="Arial" w:cs="Arial"/>
          <w:b/>
          <w:bCs/>
          <w:lang w:val="en-GB"/>
        </w:rPr>
        <w:t xml:space="preserve">) How does the progression of pathology described in the Braak hypothesis influence current strategies for developing biomarkers in Parkinson’s disease? </w:t>
      </w:r>
    </w:p>
    <w:p w14:paraId="162F25B8" w14:textId="77777777" w:rsidR="009F6982" w:rsidRDefault="009F6982" w:rsidP="00EB71A5">
      <w:pPr>
        <w:pStyle w:val="NoSpacing"/>
        <w:jc w:val="both"/>
        <w:rPr>
          <w:rStyle w:val="Strong"/>
          <w:rFonts w:ascii="Arial" w:hAnsi="Arial" w:cs="Arial"/>
          <w:b w:val="0"/>
          <w:bCs w:val="0"/>
          <w:lang w:val="en-GB"/>
        </w:rPr>
      </w:pPr>
    </w:p>
    <w:p w14:paraId="4B5EC953" w14:textId="77777777" w:rsidR="009F6982" w:rsidRDefault="00EB71A5" w:rsidP="00EB71A5">
      <w:pPr>
        <w:pStyle w:val="NoSpacing"/>
        <w:jc w:val="both"/>
        <w:rPr>
          <w:rFonts w:ascii="Arial" w:hAnsi="Arial" w:cs="Arial"/>
          <w:lang w:val="en-GB"/>
        </w:rPr>
      </w:pPr>
      <w:r w:rsidRPr="00EB71A5">
        <w:rPr>
          <w:rFonts w:ascii="Arial" w:hAnsi="Arial" w:cs="Arial"/>
          <w:lang w:val="en-GB"/>
        </w:rPr>
        <w:t xml:space="preserve">The Braak hypothesis, which describes the progression of alpha-synuclein pathology from peripheral regions (such as the olfactory bulb and enteric nervous system) to the central nervous system, has significantly influenced biomarker research in Parkinson’s disease (PD). This understanding shapes the development of biomarkers by focusing on the early stages of pathology, aiming to detect the disease before motor symptoms emerge. </w:t>
      </w:r>
    </w:p>
    <w:p w14:paraId="55E636F7" w14:textId="77777777" w:rsidR="009F6982" w:rsidRDefault="009F6982" w:rsidP="00EB71A5">
      <w:pPr>
        <w:pStyle w:val="NoSpacing"/>
        <w:jc w:val="both"/>
        <w:rPr>
          <w:rFonts w:ascii="Arial" w:hAnsi="Arial" w:cs="Arial"/>
          <w:lang w:val="en-GB"/>
        </w:rPr>
      </w:pPr>
    </w:p>
    <w:p w14:paraId="454954C2" w14:textId="7BD7926B" w:rsidR="00EB71A5" w:rsidRDefault="00EB71A5" w:rsidP="00EB71A5">
      <w:pPr>
        <w:pStyle w:val="NoSpacing"/>
        <w:jc w:val="both"/>
        <w:rPr>
          <w:rFonts w:ascii="Arial" w:hAnsi="Arial" w:cs="Arial"/>
          <w:lang w:val="en-GB"/>
        </w:rPr>
      </w:pPr>
      <w:r w:rsidRPr="009F6982">
        <w:rPr>
          <w:rFonts w:ascii="Arial" w:hAnsi="Arial" w:cs="Arial"/>
          <w:lang w:val="en-GB"/>
        </w:rPr>
        <w:t>Key strategies include:</w:t>
      </w:r>
    </w:p>
    <w:p w14:paraId="18191A45" w14:textId="77777777" w:rsidR="009F6982" w:rsidRPr="009F6982" w:rsidRDefault="009F6982" w:rsidP="00EB71A5">
      <w:pPr>
        <w:pStyle w:val="NoSpacing"/>
        <w:jc w:val="both"/>
        <w:rPr>
          <w:rFonts w:ascii="Arial" w:hAnsi="Arial" w:cs="Arial"/>
          <w:lang w:val="en-GB"/>
        </w:rPr>
      </w:pPr>
    </w:p>
    <w:p w14:paraId="29457A95" w14:textId="77777777" w:rsidR="00EB71A5" w:rsidRPr="009F6982" w:rsidRDefault="00EB71A5" w:rsidP="00EB71A5">
      <w:pPr>
        <w:pStyle w:val="NoSpacing"/>
        <w:jc w:val="both"/>
        <w:rPr>
          <w:rFonts w:ascii="Arial" w:hAnsi="Arial" w:cs="Arial"/>
          <w:lang w:val="en-GB"/>
        </w:rPr>
      </w:pPr>
      <w:r w:rsidRPr="009F6982">
        <w:rPr>
          <w:rFonts w:ascii="Arial" w:hAnsi="Arial" w:cs="Arial"/>
          <w:lang w:val="en-GB"/>
        </w:rPr>
        <w:t xml:space="preserve">1. </w:t>
      </w:r>
      <w:r w:rsidRPr="009F6982">
        <w:rPr>
          <w:rStyle w:val="Strong"/>
          <w:rFonts w:ascii="Arial" w:hAnsi="Arial" w:cs="Arial"/>
          <w:b w:val="0"/>
          <w:bCs w:val="0"/>
          <w:lang w:val="en-GB"/>
        </w:rPr>
        <w:t>Peripheral Biomarkers:</w:t>
      </w:r>
    </w:p>
    <w:p w14:paraId="697C7361"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Olfactory Mucosa Sampling:</w:t>
      </w:r>
      <w:r w:rsidRPr="00EB71A5">
        <w:rPr>
          <w:rFonts w:ascii="Arial" w:hAnsi="Arial" w:cs="Arial"/>
          <w:lang w:val="en-GB"/>
        </w:rPr>
        <w:t xml:space="preserve"> Given the early involvement of the olfactory bulb (Braak Stage 1), studies focus on detecting alpha-synuclein aggregates in the olfactory epithelium through nasal swabs or biopsies.</w:t>
      </w:r>
    </w:p>
    <w:p w14:paraId="6663347E"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Gastrointestinal Tissue Analysis:</w:t>
      </w:r>
      <w:r w:rsidRPr="00EB71A5">
        <w:rPr>
          <w:rFonts w:ascii="Arial" w:hAnsi="Arial" w:cs="Arial"/>
          <w:lang w:val="en-GB"/>
        </w:rPr>
        <w:t xml:space="preserve"> Alpha-synuclein inclusions in the enteric nervous system, such as in colon or rectal biopsies, align with Braak Stage 1. This has spurred interest in examining gut tissue samples from at-risk individuals.</w:t>
      </w:r>
    </w:p>
    <w:p w14:paraId="06E1A0F7" w14:textId="1611853D"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Skin Biopsies:</w:t>
      </w:r>
      <w:r w:rsidRPr="00EB71A5">
        <w:rPr>
          <w:rFonts w:ascii="Arial" w:hAnsi="Arial" w:cs="Arial"/>
          <w:lang w:val="en-GB"/>
        </w:rPr>
        <w:t xml:space="preserve"> The autonomic nerve </w:t>
      </w:r>
      <w:proofErr w:type="spellStart"/>
      <w:r w:rsidRPr="00EB71A5">
        <w:rPr>
          <w:rFonts w:ascii="Arial" w:hAnsi="Arial" w:cs="Arial"/>
          <w:lang w:val="en-GB"/>
        </w:rPr>
        <w:t>fibers</w:t>
      </w:r>
      <w:proofErr w:type="spellEnd"/>
      <w:r w:rsidRPr="00EB71A5">
        <w:rPr>
          <w:rFonts w:ascii="Arial" w:hAnsi="Arial" w:cs="Arial"/>
          <w:lang w:val="en-GB"/>
        </w:rPr>
        <w:t xml:space="preserve"> in the skin may </w:t>
      </w:r>
      <w:proofErr w:type="spellStart"/>
      <w:r w:rsidRPr="00EB71A5">
        <w:rPr>
          <w:rFonts w:ascii="Arial" w:hAnsi="Arial" w:cs="Arial"/>
          <w:lang w:val="en-GB"/>
        </w:rPr>
        <w:t>harbor</w:t>
      </w:r>
      <w:proofErr w:type="spellEnd"/>
      <w:r w:rsidRPr="00EB71A5">
        <w:rPr>
          <w:rFonts w:ascii="Arial" w:hAnsi="Arial" w:cs="Arial"/>
          <w:lang w:val="en-GB"/>
        </w:rPr>
        <w:t xml:space="preserve"> alpha-synuclein pathology, making skin biopsies another minimally invasive biomarker tool.</w:t>
      </w:r>
    </w:p>
    <w:p w14:paraId="3931232B" w14:textId="77777777" w:rsidR="009F6982" w:rsidRPr="00EB71A5" w:rsidRDefault="009F6982" w:rsidP="00EB71A5">
      <w:pPr>
        <w:pStyle w:val="NoSpacing"/>
        <w:jc w:val="both"/>
        <w:rPr>
          <w:rFonts w:ascii="Arial" w:hAnsi="Arial" w:cs="Arial"/>
          <w:lang w:val="en-GB"/>
        </w:rPr>
      </w:pPr>
    </w:p>
    <w:p w14:paraId="18E8D962" w14:textId="4B6C53B2" w:rsidR="00EB71A5" w:rsidRPr="00963ECA" w:rsidRDefault="00EB71A5" w:rsidP="00EB71A5">
      <w:pPr>
        <w:pStyle w:val="NoSpacing"/>
        <w:jc w:val="both"/>
        <w:rPr>
          <w:rStyle w:val="Strong"/>
          <w:rFonts w:ascii="Arial" w:hAnsi="Arial" w:cs="Arial"/>
          <w:b w:val="0"/>
          <w:bCs w:val="0"/>
          <w:lang w:val="en-US"/>
        </w:rPr>
      </w:pPr>
      <w:r w:rsidRPr="00963ECA">
        <w:rPr>
          <w:rFonts w:ascii="Arial" w:hAnsi="Arial" w:cs="Arial"/>
          <w:lang w:val="en-US"/>
        </w:rPr>
        <w:t xml:space="preserve">2. </w:t>
      </w:r>
      <w:r w:rsidRPr="00963ECA">
        <w:rPr>
          <w:rStyle w:val="Strong"/>
          <w:rFonts w:ascii="Arial" w:hAnsi="Arial" w:cs="Arial"/>
          <w:b w:val="0"/>
          <w:bCs w:val="0"/>
          <w:lang w:val="en-US"/>
        </w:rPr>
        <w:t xml:space="preserve">Fluid </w:t>
      </w:r>
      <w:r w:rsidR="009F6982" w:rsidRPr="00963ECA">
        <w:rPr>
          <w:rStyle w:val="Strong"/>
          <w:rFonts w:ascii="Arial" w:hAnsi="Arial" w:cs="Arial"/>
          <w:b w:val="0"/>
          <w:bCs w:val="0"/>
          <w:lang w:val="en-US"/>
        </w:rPr>
        <w:t>b</w:t>
      </w:r>
      <w:r w:rsidRPr="00963ECA">
        <w:rPr>
          <w:rStyle w:val="Strong"/>
          <w:rFonts w:ascii="Arial" w:hAnsi="Arial" w:cs="Arial"/>
          <w:b w:val="0"/>
          <w:bCs w:val="0"/>
          <w:lang w:val="en-US"/>
        </w:rPr>
        <w:t>iomarkers:</w:t>
      </w:r>
    </w:p>
    <w:p w14:paraId="16F699D7" w14:textId="77777777" w:rsidR="009F6982" w:rsidRPr="00963ECA" w:rsidRDefault="009F6982" w:rsidP="00EB71A5">
      <w:pPr>
        <w:pStyle w:val="NoSpacing"/>
        <w:jc w:val="both"/>
        <w:rPr>
          <w:rFonts w:ascii="Arial" w:hAnsi="Arial" w:cs="Arial"/>
          <w:lang w:val="en-US"/>
        </w:rPr>
      </w:pPr>
    </w:p>
    <w:p w14:paraId="37E83A2D"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Cerebrospinal Fluid (CSF):</w:t>
      </w:r>
      <w:r w:rsidRPr="00EB71A5">
        <w:rPr>
          <w:rFonts w:ascii="Arial" w:hAnsi="Arial" w:cs="Arial"/>
          <w:lang w:val="en-GB"/>
        </w:rPr>
        <w:t xml:space="preserve"> Measuring alpha-synuclein levels or its misfolded forms in CSF can reflect ongoing pathology in the central nervous system. The Braak hypothesis justifies its use, as CSF directly reflects brain and spinal cord changes.</w:t>
      </w:r>
    </w:p>
    <w:p w14:paraId="630CA551" w14:textId="0D787FFC" w:rsidR="00EB71A5" w:rsidRPr="00963ECA" w:rsidRDefault="00EB71A5" w:rsidP="00EB71A5">
      <w:pPr>
        <w:pStyle w:val="NoSpacing"/>
        <w:jc w:val="both"/>
        <w:rPr>
          <w:rFonts w:ascii="Arial" w:hAnsi="Arial" w:cs="Arial"/>
          <w:lang w:val="en-US"/>
        </w:rPr>
      </w:pPr>
      <w:r w:rsidRPr="00EB71A5">
        <w:rPr>
          <w:rStyle w:val="Strong"/>
          <w:rFonts w:ascii="Arial" w:hAnsi="Arial" w:cs="Arial"/>
          <w:b w:val="0"/>
          <w:bCs w:val="0"/>
          <w:lang w:val="en-GB"/>
        </w:rPr>
        <w:t>Blood and Saliva:</w:t>
      </w:r>
      <w:r w:rsidRPr="00EB71A5">
        <w:rPr>
          <w:rFonts w:ascii="Arial" w:hAnsi="Arial" w:cs="Arial"/>
          <w:lang w:val="en-GB"/>
        </w:rPr>
        <w:t xml:space="preserve"> Although peripheral tissues are more accessible, detecting alpha-synuclein in blood or saliva is challenging due to lower concentrations. </w:t>
      </w:r>
      <w:r w:rsidRPr="00963ECA">
        <w:rPr>
          <w:rFonts w:ascii="Arial" w:hAnsi="Arial" w:cs="Arial"/>
          <w:lang w:val="en-US"/>
        </w:rPr>
        <w:t>Efforts continue to develop sensitive assays for these biofluids.</w:t>
      </w:r>
    </w:p>
    <w:p w14:paraId="62D2A6D5" w14:textId="77777777" w:rsidR="009F6982" w:rsidRPr="00963ECA" w:rsidRDefault="009F6982" w:rsidP="00EB71A5">
      <w:pPr>
        <w:pStyle w:val="NoSpacing"/>
        <w:jc w:val="both"/>
        <w:rPr>
          <w:rFonts w:ascii="Arial" w:hAnsi="Arial" w:cs="Arial"/>
          <w:lang w:val="en-US"/>
        </w:rPr>
      </w:pPr>
    </w:p>
    <w:p w14:paraId="772EED83" w14:textId="73834D3E" w:rsidR="00EB71A5" w:rsidRPr="00963ECA" w:rsidRDefault="00EB71A5" w:rsidP="00EB71A5">
      <w:pPr>
        <w:pStyle w:val="NoSpacing"/>
        <w:jc w:val="both"/>
        <w:rPr>
          <w:rFonts w:ascii="Arial" w:hAnsi="Arial" w:cs="Arial"/>
          <w:lang w:val="en-US"/>
        </w:rPr>
      </w:pPr>
      <w:r w:rsidRPr="00963ECA">
        <w:rPr>
          <w:rFonts w:ascii="Arial" w:hAnsi="Arial" w:cs="Arial"/>
          <w:lang w:val="en-US"/>
        </w:rPr>
        <w:t xml:space="preserve">3. </w:t>
      </w:r>
      <w:r w:rsidRPr="00963ECA">
        <w:rPr>
          <w:rStyle w:val="Strong"/>
          <w:rFonts w:ascii="Arial" w:hAnsi="Arial" w:cs="Arial"/>
          <w:b w:val="0"/>
          <w:bCs w:val="0"/>
          <w:lang w:val="en-US"/>
        </w:rPr>
        <w:t xml:space="preserve">Imaging </w:t>
      </w:r>
      <w:r w:rsidR="009F6982" w:rsidRPr="00963ECA">
        <w:rPr>
          <w:rStyle w:val="Strong"/>
          <w:rFonts w:ascii="Arial" w:hAnsi="Arial" w:cs="Arial"/>
          <w:b w:val="0"/>
          <w:bCs w:val="0"/>
          <w:lang w:val="en-US"/>
        </w:rPr>
        <w:t>b</w:t>
      </w:r>
      <w:r w:rsidRPr="00963ECA">
        <w:rPr>
          <w:rStyle w:val="Strong"/>
          <w:rFonts w:ascii="Arial" w:hAnsi="Arial" w:cs="Arial"/>
          <w:b w:val="0"/>
          <w:bCs w:val="0"/>
          <w:lang w:val="en-US"/>
        </w:rPr>
        <w:t>iomarkers:</w:t>
      </w:r>
    </w:p>
    <w:p w14:paraId="5E5AB9AB"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Olfactory and Brainstem Imaging:</w:t>
      </w:r>
      <w:r w:rsidRPr="00EB71A5">
        <w:rPr>
          <w:rFonts w:ascii="Arial" w:hAnsi="Arial" w:cs="Arial"/>
          <w:lang w:val="en-GB"/>
        </w:rPr>
        <w:t xml:space="preserve"> MRI and PET scans targeting the olfactory bulb, </w:t>
      </w:r>
      <w:proofErr w:type="spellStart"/>
      <w:r w:rsidRPr="00EB71A5">
        <w:rPr>
          <w:rFonts w:ascii="Arial" w:hAnsi="Arial" w:cs="Arial"/>
          <w:lang w:val="en-GB"/>
        </w:rPr>
        <w:t>vagus</w:t>
      </w:r>
      <w:proofErr w:type="spellEnd"/>
      <w:r w:rsidRPr="00EB71A5">
        <w:rPr>
          <w:rFonts w:ascii="Arial" w:hAnsi="Arial" w:cs="Arial"/>
          <w:lang w:val="en-GB"/>
        </w:rPr>
        <w:t xml:space="preserve"> nerve, or brainstem regions involved in early Braak stages are being explored to visualize early structural or functional changes.</w:t>
      </w:r>
    </w:p>
    <w:p w14:paraId="5991B15B" w14:textId="465733BD"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Dopaminergic Imaging:</w:t>
      </w:r>
      <w:r w:rsidRPr="00EB71A5">
        <w:rPr>
          <w:rFonts w:ascii="Arial" w:hAnsi="Arial" w:cs="Arial"/>
          <w:lang w:val="en-GB"/>
        </w:rPr>
        <w:t xml:space="preserve"> While traditional imaging focuses on dopamine depletion in the substantia nigra (Braak Stage 3), newer methods aim to detect earlier changes consistent with Braak Stage 1 or 2.</w:t>
      </w:r>
    </w:p>
    <w:p w14:paraId="1A68A4E4" w14:textId="77777777" w:rsidR="009F6982" w:rsidRPr="00EB71A5" w:rsidRDefault="009F6982" w:rsidP="00EB71A5">
      <w:pPr>
        <w:pStyle w:val="NoSpacing"/>
        <w:jc w:val="both"/>
        <w:rPr>
          <w:rFonts w:ascii="Arial" w:hAnsi="Arial" w:cs="Arial"/>
          <w:lang w:val="en-GB"/>
        </w:rPr>
      </w:pPr>
    </w:p>
    <w:p w14:paraId="454DE0E7" w14:textId="75DBBA6C" w:rsidR="00EB71A5" w:rsidRPr="00EB71A5" w:rsidRDefault="00EB71A5" w:rsidP="00EB71A5">
      <w:pPr>
        <w:pStyle w:val="NoSpacing"/>
        <w:jc w:val="both"/>
        <w:rPr>
          <w:rFonts w:ascii="Arial" w:hAnsi="Arial" w:cs="Arial"/>
          <w:lang w:val="en-GB"/>
        </w:rPr>
      </w:pPr>
      <w:r w:rsidRPr="00EB71A5">
        <w:rPr>
          <w:rFonts w:ascii="Arial" w:hAnsi="Arial" w:cs="Arial"/>
          <w:lang w:val="en-GB"/>
        </w:rPr>
        <w:t xml:space="preserve">4. </w:t>
      </w:r>
      <w:r w:rsidRPr="00EB71A5">
        <w:rPr>
          <w:rStyle w:val="Strong"/>
          <w:rFonts w:ascii="Arial" w:hAnsi="Arial" w:cs="Arial"/>
          <w:b w:val="0"/>
          <w:bCs w:val="0"/>
          <w:lang w:val="en-GB"/>
        </w:rPr>
        <w:t>Non-</w:t>
      </w:r>
      <w:r w:rsidR="009F6982">
        <w:rPr>
          <w:rStyle w:val="Strong"/>
          <w:rFonts w:ascii="Arial" w:hAnsi="Arial" w:cs="Arial"/>
          <w:b w:val="0"/>
          <w:bCs w:val="0"/>
          <w:lang w:val="en-GB"/>
        </w:rPr>
        <w:t>m</w:t>
      </w:r>
      <w:r w:rsidRPr="00EB71A5">
        <w:rPr>
          <w:rStyle w:val="Strong"/>
          <w:rFonts w:ascii="Arial" w:hAnsi="Arial" w:cs="Arial"/>
          <w:b w:val="0"/>
          <w:bCs w:val="0"/>
          <w:lang w:val="en-GB"/>
        </w:rPr>
        <w:t xml:space="preserve">otor </w:t>
      </w:r>
      <w:r w:rsidR="009F6982">
        <w:rPr>
          <w:rStyle w:val="Strong"/>
          <w:rFonts w:ascii="Arial" w:hAnsi="Arial" w:cs="Arial"/>
          <w:b w:val="0"/>
          <w:bCs w:val="0"/>
          <w:lang w:val="en-GB"/>
        </w:rPr>
        <w:t>s</w:t>
      </w:r>
      <w:r w:rsidRPr="00EB71A5">
        <w:rPr>
          <w:rStyle w:val="Strong"/>
          <w:rFonts w:ascii="Arial" w:hAnsi="Arial" w:cs="Arial"/>
          <w:b w:val="0"/>
          <w:bCs w:val="0"/>
          <w:lang w:val="en-GB"/>
        </w:rPr>
        <w:t>ymptom-</w:t>
      </w:r>
      <w:r w:rsidR="009F6982">
        <w:rPr>
          <w:rStyle w:val="Strong"/>
          <w:rFonts w:ascii="Arial" w:hAnsi="Arial" w:cs="Arial"/>
          <w:b w:val="0"/>
          <w:bCs w:val="0"/>
          <w:lang w:val="en-GB"/>
        </w:rPr>
        <w:t>b</w:t>
      </w:r>
      <w:r w:rsidRPr="00EB71A5">
        <w:rPr>
          <w:rStyle w:val="Strong"/>
          <w:rFonts w:ascii="Arial" w:hAnsi="Arial" w:cs="Arial"/>
          <w:b w:val="0"/>
          <w:bCs w:val="0"/>
          <w:lang w:val="en-GB"/>
        </w:rPr>
        <w:t xml:space="preserve">ased </w:t>
      </w:r>
      <w:r w:rsidR="009F6982">
        <w:rPr>
          <w:rStyle w:val="Strong"/>
          <w:rFonts w:ascii="Arial" w:hAnsi="Arial" w:cs="Arial"/>
          <w:b w:val="0"/>
          <w:bCs w:val="0"/>
          <w:lang w:val="en-GB"/>
        </w:rPr>
        <w:t>s</w:t>
      </w:r>
      <w:r w:rsidRPr="00EB71A5">
        <w:rPr>
          <w:rStyle w:val="Strong"/>
          <w:rFonts w:ascii="Arial" w:hAnsi="Arial" w:cs="Arial"/>
          <w:b w:val="0"/>
          <w:bCs w:val="0"/>
          <w:lang w:val="en-GB"/>
        </w:rPr>
        <w:t>creening:</w:t>
      </w:r>
    </w:p>
    <w:p w14:paraId="57B9C686" w14:textId="50B90663"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Clinical Correlation:</w:t>
      </w:r>
      <w:r w:rsidRPr="00EB71A5">
        <w:rPr>
          <w:rFonts w:ascii="Arial" w:hAnsi="Arial" w:cs="Arial"/>
          <w:lang w:val="en-GB"/>
        </w:rPr>
        <w:t xml:space="preserve"> Non-motor symptoms like anosmia, REM sleep </w:t>
      </w:r>
      <w:proofErr w:type="spellStart"/>
      <w:r w:rsidRPr="00EB71A5">
        <w:rPr>
          <w:rFonts w:ascii="Arial" w:hAnsi="Arial" w:cs="Arial"/>
          <w:lang w:val="en-GB"/>
        </w:rPr>
        <w:t>behavior</w:t>
      </w:r>
      <w:proofErr w:type="spellEnd"/>
      <w:r w:rsidRPr="00EB71A5">
        <w:rPr>
          <w:rFonts w:ascii="Arial" w:hAnsi="Arial" w:cs="Arial"/>
          <w:lang w:val="en-GB"/>
        </w:rPr>
        <w:t xml:space="preserve"> disorder (RBD), and constipation, which are prominent in early Braak stages, are being incorporated into risk profiling tools. Combining these symptoms with biomarker testing enhances diagnostic accuracy.</w:t>
      </w:r>
    </w:p>
    <w:p w14:paraId="6536DBEE" w14:textId="77777777" w:rsidR="009F6982" w:rsidRPr="00EB71A5" w:rsidRDefault="009F6982" w:rsidP="00EB71A5">
      <w:pPr>
        <w:pStyle w:val="NoSpacing"/>
        <w:jc w:val="both"/>
        <w:rPr>
          <w:rFonts w:ascii="Arial" w:hAnsi="Arial" w:cs="Arial"/>
          <w:lang w:val="en-GB"/>
        </w:rPr>
      </w:pPr>
    </w:p>
    <w:p w14:paraId="0D01DCE6"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 xml:space="preserve">5. </w:t>
      </w:r>
      <w:r w:rsidRPr="00EB71A5">
        <w:rPr>
          <w:rStyle w:val="Strong"/>
          <w:rFonts w:ascii="Arial" w:hAnsi="Arial" w:cs="Arial"/>
          <w:b w:val="0"/>
          <w:bCs w:val="0"/>
          <w:lang w:val="en-GB"/>
        </w:rPr>
        <w:t>Integration of the Prion-Like Hypothesis:</w:t>
      </w:r>
    </w:p>
    <w:p w14:paraId="1B840B58" w14:textId="04A01CBF" w:rsidR="00EB71A5" w:rsidRDefault="00EB71A5" w:rsidP="00EB71A5">
      <w:pPr>
        <w:pStyle w:val="NoSpacing"/>
        <w:jc w:val="both"/>
        <w:rPr>
          <w:rFonts w:ascii="Arial" w:hAnsi="Arial" w:cs="Arial"/>
          <w:lang w:val="en-GB"/>
        </w:rPr>
      </w:pPr>
      <w:r w:rsidRPr="00EB71A5">
        <w:rPr>
          <w:rFonts w:ascii="Arial" w:hAnsi="Arial" w:cs="Arial"/>
          <w:lang w:val="en-GB"/>
        </w:rPr>
        <w:t>The Braak hypothesis suggests a prion-like spread of alpha-synuclein pathology, leading to the exploration of biomarkers that detect misfolded proteins in peripheral tissues before they propagate to the brain.</w:t>
      </w:r>
    </w:p>
    <w:p w14:paraId="0D7B725A" w14:textId="77777777" w:rsidR="009F6982" w:rsidRPr="00EB71A5" w:rsidRDefault="009F6982" w:rsidP="00EB71A5">
      <w:pPr>
        <w:pStyle w:val="NoSpacing"/>
        <w:jc w:val="both"/>
        <w:rPr>
          <w:rFonts w:ascii="Arial" w:hAnsi="Arial" w:cs="Arial"/>
          <w:lang w:val="en-GB"/>
        </w:rPr>
      </w:pPr>
    </w:p>
    <w:p w14:paraId="199B0337"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While the Braak hypothesis provides a roadmap for biomarker development, its applicability to all PD cases is debated, as not all patients follow the caudo-rostral progression.</w:t>
      </w:r>
    </w:p>
    <w:p w14:paraId="6AD70F1F"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Further validation is needed to determine the sensitivity and specificity of proposed biomarkers in detecting early-stage PD.</w:t>
      </w:r>
    </w:p>
    <w:p w14:paraId="20683DA8" w14:textId="77777777" w:rsidR="009F6982" w:rsidRDefault="009F6982" w:rsidP="00EB71A5">
      <w:pPr>
        <w:pStyle w:val="NoSpacing"/>
        <w:jc w:val="both"/>
        <w:rPr>
          <w:rStyle w:val="Strong"/>
          <w:rFonts w:ascii="Arial" w:hAnsi="Arial" w:cs="Arial"/>
          <w:b w:val="0"/>
          <w:bCs w:val="0"/>
          <w:lang w:val="en-GB"/>
        </w:rPr>
      </w:pPr>
    </w:p>
    <w:p w14:paraId="576C16AA" w14:textId="53DEAB8E"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Conclusion:</w:t>
      </w:r>
    </w:p>
    <w:p w14:paraId="68AE6214" w14:textId="77777777" w:rsidR="00EB71A5" w:rsidRDefault="00EB71A5" w:rsidP="00EB71A5">
      <w:pPr>
        <w:pStyle w:val="NoSpacing"/>
        <w:jc w:val="both"/>
        <w:rPr>
          <w:rFonts w:ascii="Arial" w:hAnsi="Arial" w:cs="Arial"/>
          <w:lang w:val="en-GB"/>
        </w:rPr>
      </w:pPr>
      <w:r w:rsidRPr="00EB71A5">
        <w:rPr>
          <w:rFonts w:ascii="Arial" w:hAnsi="Arial" w:cs="Arial"/>
          <w:lang w:val="en-GB"/>
        </w:rPr>
        <w:t>The Braak hypothesis has revolutionized the search for biomarkers by shifting the focus to early, peripheral pathology. These efforts aim to identify individuals in the pre-motor phase of PD, offering opportunities for early intervention and potentially altering the disease course before substantial neurodegeneration occurs.</w:t>
      </w:r>
    </w:p>
    <w:p w14:paraId="5951229B" w14:textId="77777777" w:rsidR="005B37EE" w:rsidRDefault="005B37EE" w:rsidP="00EB71A5">
      <w:pPr>
        <w:pStyle w:val="NoSpacing"/>
        <w:jc w:val="both"/>
        <w:rPr>
          <w:rFonts w:ascii="Arial" w:hAnsi="Arial" w:cs="Arial"/>
          <w:lang w:val="en-GB"/>
        </w:rPr>
      </w:pPr>
    </w:p>
    <w:p w14:paraId="36584076" w14:textId="77777777" w:rsidR="005B37EE" w:rsidRDefault="005B37EE" w:rsidP="00EB71A5">
      <w:pPr>
        <w:pStyle w:val="NoSpacing"/>
        <w:jc w:val="both"/>
        <w:rPr>
          <w:rFonts w:ascii="Arial" w:hAnsi="Arial" w:cs="Arial"/>
          <w:lang w:val="en-GB"/>
        </w:rPr>
      </w:pPr>
    </w:p>
    <w:p w14:paraId="1C0C02CA" w14:textId="5ABE2FA0" w:rsidR="005B37EE" w:rsidRPr="00DF55D9" w:rsidRDefault="005B37EE" w:rsidP="005B37EE">
      <w:pPr>
        <w:pStyle w:val="NoSpacing"/>
        <w:jc w:val="both"/>
        <w:rPr>
          <w:rFonts w:ascii="Arial" w:hAnsi="Arial" w:cs="Arial"/>
          <w:b/>
          <w:bCs/>
          <w:lang w:val="en-GB"/>
        </w:rPr>
      </w:pPr>
      <w:r w:rsidRPr="00DF55D9">
        <w:rPr>
          <w:rFonts w:ascii="Arial" w:hAnsi="Arial" w:cs="Arial"/>
          <w:b/>
          <w:bCs/>
          <w:lang w:val="en-GB"/>
        </w:rPr>
        <w:t xml:space="preserve">4) Glia: </w:t>
      </w:r>
      <w:r w:rsidRPr="00DF55D9">
        <w:rPr>
          <w:rFonts w:ascii="Arial" w:hAnsi="Arial" w:cs="Arial"/>
          <w:b/>
          <w:bCs/>
          <w:lang w:val="en-US"/>
        </w:rPr>
        <w:t xml:space="preserve">What are the roles of astrocytes in the brain? Name at least three roles and give an example for each. </w:t>
      </w:r>
    </w:p>
    <w:p w14:paraId="13D3BD34" w14:textId="77777777" w:rsidR="005B37EE" w:rsidRPr="005B37EE" w:rsidRDefault="005B37EE" w:rsidP="005B37EE">
      <w:pPr>
        <w:pStyle w:val="NoSpacing"/>
        <w:rPr>
          <w:rFonts w:ascii="Arial" w:hAnsi="Arial" w:cs="Arial"/>
          <w:lang w:val="en-US"/>
        </w:rPr>
      </w:pPr>
    </w:p>
    <w:p w14:paraId="3D0E21BF"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 xml:space="preserve">Role of astrocytes as part of the BBB, astrocytic </w:t>
      </w:r>
      <w:proofErr w:type="spellStart"/>
      <w:r w:rsidRPr="005B37EE">
        <w:rPr>
          <w:rFonts w:ascii="Arial" w:hAnsi="Arial" w:cs="Arial"/>
          <w:bCs/>
          <w:iCs/>
          <w:lang w:val="en-US"/>
        </w:rPr>
        <w:t>endfeet</w:t>
      </w:r>
      <w:proofErr w:type="spellEnd"/>
      <w:r w:rsidRPr="005B37EE">
        <w:rPr>
          <w:rFonts w:ascii="Arial" w:hAnsi="Arial" w:cs="Arial"/>
          <w:bCs/>
          <w:iCs/>
          <w:lang w:val="en-US"/>
        </w:rPr>
        <w:t xml:space="preserve"> surrounding capillaries and expressing specialized transporters involving:</w:t>
      </w:r>
    </w:p>
    <w:p w14:paraId="62317C8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-control of metabolites import into the parenchyma (glucose through glucose transporter)</w:t>
      </w:r>
    </w:p>
    <w:p w14:paraId="1F82D5E2" w14:textId="75E6CFA5"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control of brain osmola</w:t>
      </w:r>
      <w:r w:rsidR="00D040D5">
        <w:rPr>
          <w:rFonts w:ascii="Arial" w:hAnsi="Arial" w:cs="Arial"/>
          <w:bCs/>
          <w:iCs/>
          <w:lang w:val="en-US"/>
        </w:rPr>
        <w:t>r</w:t>
      </w:r>
      <w:r w:rsidRPr="005B37EE">
        <w:rPr>
          <w:rFonts w:ascii="Arial" w:hAnsi="Arial" w:cs="Arial"/>
          <w:bCs/>
          <w:iCs/>
          <w:lang w:val="en-US"/>
        </w:rPr>
        <w:t>ity, transport of water and potassium (trough channel and aquaporins)</w:t>
      </w:r>
    </w:p>
    <w:p w14:paraId="7953F13A" w14:textId="77777777" w:rsidR="005B37EE" w:rsidRPr="005B37EE" w:rsidRDefault="005B37EE" w:rsidP="005B37EE">
      <w:pPr>
        <w:pStyle w:val="NoSpacing"/>
        <w:jc w:val="both"/>
        <w:rPr>
          <w:rFonts w:ascii="Arial" w:hAnsi="Arial" w:cs="Arial"/>
          <w:bCs/>
          <w:iCs/>
          <w:lang w:val="en-US"/>
        </w:rPr>
      </w:pPr>
    </w:p>
    <w:p w14:paraId="245A2BC4"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the regulation of synaptic transmission/synaptic function, astrocytic processes wrapping around synapses:</w:t>
      </w:r>
    </w:p>
    <w:p w14:paraId="324DD50C"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gliotransmitters and neuromodulators (glutamate, ATP, adenosine, D-serine …)</w:t>
      </w:r>
    </w:p>
    <w:p w14:paraId="6EF2F4D7"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efficient neurotransmitter reuptake through specialized transporters (glutamate, GABA, glycine,…)</w:t>
      </w:r>
    </w:p>
    <w:p w14:paraId="79A7C0E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efficient removal of potassium through the astrocytic syncytium (astrocytic network)</w:t>
      </w:r>
    </w:p>
    <w:p w14:paraId="339F83C8"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recycling of neurotransmitters (glutamate-glutamine shuttle)</w:t>
      </w:r>
    </w:p>
    <w:p w14:paraId="098F55DE" w14:textId="77777777" w:rsidR="005B37EE" w:rsidRPr="005B37EE" w:rsidRDefault="005B37EE" w:rsidP="005B37EE">
      <w:pPr>
        <w:pStyle w:val="NoSpacing"/>
        <w:jc w:val="both"/>
        <w:rPr>
          <w:rFonts w:ascii="Arial" w:hAnsi="Arial" w:cs="Arial"/>
          <w:bCs/>
          <w:iCs/>
          <w:lang w:val="en-US"/>
        </w:rPr>
      </w:pPr>
    </w:p>
    <w:p w14:paraId="5ADDE0B1"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 in energy metabolism (role in the neurometabolic coupling):</w:t>
      </w:r>
    </w:p>
    <w:p w14:paraId="0D01C53D"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prevalent site of glucose uptake in the brain (import at the BBB and utilization)</w:t>
      </w:r>
    </w:p>
    <w:p w14:paraId="17F86DF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delivery of energy substrates to neuron to feed their energy needs (lactate, …), also to oligodendrocytes</w:t>
      </w:r>
    </w:p>
    <w:p w14:paraId="309F1DB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storage of energy reserve in the form of glycogen (glucose stock)</w:t>
      </w:r>
    </w:p>
    <w:p w14:paraId="63436A17" w14:textId="77777777" w:rsidR="005B37EE" w:rsidRPr="005B37EE" w:rsidRDefault="005B37EE" w:rsidP="005B37EE">
      <w:pPr>
        <w:pStyle w:val="NoSpacing"/>
        <w:jc w:val="both"/>
        <w:rPr>
          <w:rFonts w:ascii="Arial" w:hAnsi="Arial" w:cs="Arial"/>
          <w:bCs/>
          <w:iCs/>
          <w:lang w:val="en-US"/>
        </w:rPr>
      </w:pPr>
    </w:p>
    <w:p w14:paraId="2C49DD2F"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the control of blood flow, vasoconstriction and vasodilation (neurovascular coupling):</w:t>
      </w:r>
    </w:p>
    <w:p w14:paraId="28B70BF9"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vasoactive compounds (prostaglandins, arachidonic acid, …)</w:t>
      </w:r>
    </w:p>
    <w:p w14:paraId="11531644" w14:textId="77777777" w:rsidR="005B37EE" w:rsidRPr="005B37EE" w:rsidRDefault="005B37EE" w:rsidP="005B37EE">
      <w:pPr>
        <w:pStyle w:val="NoSpacing"/>
        <w:jc w:val="both"/>
        <w:rPr>
          <w:rFonts w:ascii="Arial" w:hAnsi="Arial" w:cs="Arial"/>
          <w:bCs/>
          <w:iCs/>
          <w:lang w:val="en-US"/>
        </w:rPr>
      </w:pPr>
    </w:p>
    <w:p w14:paraId="3B89FB21"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in neuro-inflammation (in conjunction with microglia)(briefly mentioned):</w:t>
      </w:r>
    </w:p>
    <w:p w14:paraId="3774055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interleukins and cytokines</w:t>
      </w:r>
    </w:p>
    <w:p w14:paraId="78FCD694"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scar formation</w:t>
      </w:r>
    </w:p>
    <w:p w14:paraId="16C0EA06" w14:textId="77777777" w:rsidR="005B37EE" w:rsidRPr="005B37EE" w:rsidRDefault="005B37EE" w:rsidP="005B37EE">
      <w:pPr>
        <w:pStyle w:val="NoSpacing"/>
        <w:jc w:val="both"/>
        <w:rPr>
          <w:rFonts w:ascii="Arial" w:hAnsi="Arial" w:cs="Arial"/>
          <w:bCs/>
          <w:iCs/>
          <w:lang w:val="en-US"/>
        </w:rPr>
      </w:pPr>
    </w:p>
    <w:p w14:paraId="01DE9E35"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oxidative stress defense mechanisms (briefly mentioned):</w:t>
      </w:r>
    </w:p>
    <w:p w14:paraId="5468094E"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Glutathione metabolism</w:t>
      </w:r>
    </w:p>
    <w:p w14:paraId="3639DC1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ascorbic acid metabolism</w:t>
      </w:r>
    </w:p>
    <w:p w14:paraId="64BC43C7" w14:textId="77777777" w:rsidR="005B37EE" w:rsidRPr="005B37EE" w:rsidRDefault="005B37EE" w:rsidP="005B37EE">
      <w:pPr>
        <w:pStyle w:val="NoSpacing"/>
        <w:jc w:val="both"/>
        <w:rPr>
          <w:rFonts w:ascii="Arial" w:hAnsi="Arial" w:cs="Arial"/>
          <w:bCs/>
          <w:iCs/>
          <w:lang w:val="en-US"/>
        </w:rPr>
      </w:pPr>
    </w:p>
    <w:p w14:paraId="25810DB3" w14:textId="77777777" w:rsid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Astrocytic communication (network/syncytium) through gap junction in relation to potassium, metabolites and calcium homeostasis has been described. A role of it in brain physiology in general could be accepted as a right answer (to my point of view) even though it is not a “role of” astrocyte.</w:t>
      </w:r>
    </w:p>
    <w:p w14:paraId="4108A5A0" w14:textId="77777777" w:rsidR="005B37EE" w:rsidRDefault="005B37EE" w:rsidP="005B37EE">
      <w:pPr>
        <w:pStyle w:val="NoSpacing"/>
        <w:jc w:val="both"/>
        <w:rPr>
          <w:rFonts w:ascii="Arial" w:hAnsi="Arial" w:cs="Arial"/>
          <w:bCs/>
          <w:iCs/>
          <w:lang w:val="en-US"/>
        </w:rPr>
      </w:pPr>
    </w:p>
    <w:p w14:paraId="219C1B7E" w14:textId="77777777" w:rsidR="00DF55D9" w:rsidRDefault="00DF55D9" w:rsidP="005B37EE">
      <w:pPr>
        <w:pStyle w:val="NoSpacing"/>
        <w:jc w:val="both"/>
        <w:rPr>
          <w:rFonts w:ascii="Arial" w:hAnsi="Arial" w:cs="Arial"/>
          <w:bCs/>
          <w:iCs/>
          <w:lang w:val="en-US"/>
        </w:rPr>
      </w:pPr>
    </w:p>
    <w:p w14:paraId="7C200228" w14:textId="03B1BE88" w:rsidR="005B37EE" w:rsidRPr="00DF55D9" w:rsidRDefault="005B37EE" w:rsidP="005B37EE">
      <w:pPr>
        <w:pStyle w:val="NoSpacing"/>
        <w:jc w:val="both"/>
        <w:rPr>
          <w:rFonts w:ascii="Arial" w:hAnsi="Arial" w:cs="Arial"/>
          <w:b/>
          <w:iCs/>
          <w:lang w:val="en-US"/>
        </w:rPr>
      </w:pPr>
      <w:r w:rsidRPr="00DF55D9">
        <w:rPr>
          <w:rFonts w:ascii="Arial" w:hAnsi="Arial" w:cs="Arial"/>
          <w:b/>
          <w:iCs/>
          <w:lang w:val="en-US"/>
        </w:rPr>
        <w:t xml:space="preserve">5) Neuroanatomy: </w:t>
      </w:r>
    </w:p>
    <w:p w14:paraId="3E6CDF64" w14:textId="77777777" w:rsidR="005B37EE" w:rsidRDefault="005B37EE" w:rsidP="005B37EE">
      <w:pPr>
        <w:pStyle w:val="NoSpacing"/>
        <w:jc w:val="both"/>
        <w:rPr>
          <w:rFonts w:ascii="Arial" w:hAnsi="Arial" w:cs="Arial"/>
          <w:bCs/>
          <w:iCs/>
          <w:lang w:val="en-US"/>
        </w:rPr>
      </w:pPr>
    </w:p>
    <w:p w14:paraId="229F9911"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On the basis of the symptoms presented above, what is the most likely diagnosis? (2 points)</w:t>
      </w:r>
    </w:p>
    <w:p w14:paraId="5FBFEC8D"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Cerebellar ataxia (1 point for “ataxia”)</w:t>
      </w:r>
    </w:p>
    <w:p w14:paraId="60E2D315"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What is the most likely site of damage in the brain? Name at least one brain area. (1 point)</w:t>
      </w:r>
    </w:p>
    <w:p w14:paraId="78C8C21D"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Cerebellum/ cerebellar vermis</w:t>
      </w:r>
    </w:p>
    <w:p w14:paraId="48CBCB8B"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How can one measure structural damage to one brain area in humans? Name at least one technique and describe in one sentence what the technique is actually measuring. (2 points)</w:t>
      </w:r>
    </w:p>
    <w:p w14:paraId="4D4C7AD2"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MRI; measure magnetic resonance of contrast agents that penetrate the brain</w:t>
      </w:r>
    </w:p>
    <w:p w14:paraId="0A10B6A4"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lastRenderedPageBreak/>
        <w:t>CT; integrating multiple X-ray generated images (electromagnetic radiation)</w:t>
      </w:r>
    </w:p>
    <w:p w14:paraId="3E3B57B8"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X-ray </w:t>
      </w:r>
    </w:p>
    <w:p w14:paraId="05A0F2C8" w14:textId="77777777" w:rsidR="005B37EE" w:rsidRPr="005B37EE" w:rsidRDefault="005B37EE" w:rsidP="005B37EE">
      <w:pPr>
        <w:pStyle w:val="NoSpacing"/>
        <w:numPr>
          <w:ilvl w:val="1"/>
          <w:numId w:val="26"/>
        </w:numPr>
        <w:jc w:val="both"/>
        <w:rPr>
          <w:rFonts w:ascii="Arial" w:hAnsi="Arial" w:cs="Arial"/>
          <w:bCs/>
          <w:i/>
          <w:iCs/>
          <w:lang w:val="en-US"/>
        </w:rPr>
      </w:pPr>
      <w:r w:rsidRPr="005B37EE">
        <w:rPr>
          <w:rFonts w:ascii="Arial" w:hAnsi="Arial" w:cs="Arial"/>
          <w:bCs/>
          <w:i/>
          <w:iCs/>
          <w:lang w:val="en-US"/>
        </w:rPr>
        <w:t>Only half the points for PET scan as it is not – strictly speaking – measuring structure</w:t>
      </w:r>
    </w:p>
    <w:p w14:paraId="0A8E9A55"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What type of substance abuse could have caused the patient’s problem? Name at least one substance. (1 point)</w:t>
      </w:r>
    </w:p>
    <w:p w14:paraId="1BC360C9"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Alcohol/nicotine </w:t>
      </w:r>
    </w:p>
    <w:p w14:paraId="3164B173"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How would you mimic such damage in an animal model? Describe both a technique and which animal you would use for this. (2 points)</w:t>
      </w:r>
    </w:p>
    <w:p w14:paraId="7EF8459E" w14:textId="0CB9F368"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Lesion studies; X-ray (high dose) studies; </w:t>
      </w:r>
      <w:r w:rsidR="00D302DA">
        <w:rPr>
          <w:rFonts w:ascii="Arial" w:hAnsi="Arial" w:cs="Arial"/>
          <w:bCs/>
          <w:iCs/>
          <w:lang w:val="en-US"/>
        </w:rPr>
        <w:t>pharmacological (</w:t>
      </w:r>
      <w:proofErr w:type="spellStart"/>
      <w:r w:rsidRPr="005B37EE">
        <w:rPr>
          <w:rFonts w:ascii="Arial" w:hAnsi="Arial" w:cs="Arial"/>
          <w:bCs/>
          <w:iCs/>
          <w:lang w:val="en-US"/>
        </w:rPr>
        <w:t>muscimol</w:t>
      </w:r>
      <w:proofErr w:type="spellEnd"/>
      <w:r w:rsidR="00D302DA">
        <w:rPr>
          <w:rFonts w:ascii="Arial" w:hAnsi="Arial" w:cs="Arial"/>
          <w:bCs/>
          <w:iCs/>
          <w:lang w:val="en-US"/>
        </w:rPr>
        <w:t>)</w:t>
      </w:r>
      <w:r w:rsidRPr="005B37EE">
        <w:rPr>
          <w:rFonts w:ascii="Arial" w:hAnsi="Arial" w:cs="Arial"/>
          <w:bCs/>
          <w:iCs/>
          <w:lang w:val="en-US"/>
        </w:rPr>
        <w:t xml:space="preserve"> or similar inactivation studies</w:t>
      </w:r>
      <w:r w:rsidR="00D302DA">
        <w:rPr>
          <w:rFonts w:ascii="Arial" w:hAnsi="Arial" w:cs="Arial"/>
          <w:bCs/>
          <w:iCs/>
          <w:lang w:val="en-US"/>
        </w:rPr>
        <w:t xml:space="preserve"> (stereotaxically)</w:t>
      </w:r>
      <w:r w:rsidRPr="005B37EE">
        <w:rPr>
          <w:rFonts w:ascii="Arial" w:hAnsi="Arial" w:cs="Arial"/>
          <w:bCs/>
          <w:iCs/>
          <w:lang w:val="en-US"/>
        </w:rPr>
        <w:t>; cryogenic studies; optogenetic or chemogenetic inhibition studies that are coupled to cerebellum-specific promoters (anything to inhibit the cerebellum)</w:t>
      </w:r>
    </w:p>
    <w:p w14:paraId="0B4C4C57" w14:textId="25195918" w:rsidR="00963ECA" w:rsidRPr="00963ECA" w:rsidRDefault="005B37EE" w:rsidP="00963ECA">
      <w:pPr>
        <w:pStyle w:val="NoSpacing"/>
        <w:numPr>
          <w:ilvl w:val="1"/>
          <w:numId w:val="26"/>
        </w:numPr>
        <w:jc w:val="both"/>
        <w:rPr>
          <w:rFonts w:ascii="Arial" w:hAnsi="Arial" w:cs="Arial"/>
          <w:bCs/>
          <w:iCs/>
          <w:lang w:val="en-US"/>
        </w:rPr>
      </w:pPr>
      <w:r w:rsidRPr="005B37EE">
        <w:rPr>
          <w:rFonts w:ascii="Arial" w:hAnsi="Arial" w:cs="Arial"/>
          <w:bCs/>
          <w:iCs/>
          <w:lang w:val="en-US"/>
        </w:rPr>
        <w:t>Mouse or rat</w:t>
      </w:r>
    </w:p>
    <w:p w14:paraId="2BF43261" w14:textId="77777777" w:rsidR="00963ECA" w:rsidRDefault="00963ECA" w:rsidP="00963ECA">
      <w:pPr>
        <w:pStyle w:val="NoSpacing"/>
        <w:jc w:val="both"/>
        <w:rPr>
          <w:rFonts w:ascii="Arial" w:hAnsi="Arial" w:cs="Arial"/>
          <w:bCs/>
          <w:iCs/>
          <w:lang w:val="en-US"/>
        </w:rPr>
      </w:pPr>
    </w:p>
    <w:p w14:paraId="1E90A77C" w14:textId="77777777" w:rsidR="00963ECA" w:rsidRDefault="00963ECA" w:rsidP="00963ECA">
      <w:pPr>
        <w:pStyle w:val="NoSpacing"/>
        <w:jc w:val="both"/>
        <w:rPr>
          <w:rFonts w:ascii="Arial" w:hAnsi="Arial" w:cs="Arial"/>
          <w:bCs/>
          <w:iCs/>
          <w:lang w:val="en-US"/>
        </w:rPr>
      </w:pPr>
    </w:p>
    <w:p w14:paraId="391013B5" w14:textId="77777777" w:rsidR="00963ECA" w:rsidRPr="00DF55D9" w:rsidRDefault="00963ECA" w:rsidP="00963ECA">
      <w:pPr>
        <w:pStyle w:val="NoSpacing"/>
        <w:spacing w:after="120"/>
        <w:jc w:val="both"/>
        <w:rPr>
          <w:rFonts w:ascii="Arial" w:hAnsi="Arial" w:cs="Arial"/>
          <w:b/>
          <w:bCs/>
          <w:lang w:val="en-US" w:eastAsia="fr-FR"/>
        </w:rPr>
      </w:pPr>
      <w:r w:rsidRPr="00DF55D9">
        <w:rPr>
          <w:rFonts w:ascii="Arial" w:hAnsi="Arial" w:cs="Arial"/>
          <w:b/>
          <w:bCs/>
          <w:lang w:val="en-US" w:eastAsia="fr-FR"/>
        </w:rPr>
        <w:t>6) Parkinson’s disease - Experimental models</w:t>
      </w:r>
    </w:p>
    <w:p w14:paraId="4076C4BB"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What is the rationale for injecting alpha-synuclein fibrils to model Parkinson’s disease in the mammalian brain?</w:t>
      </w:r>
    </w:p>
    <w:p w14:paraId="27660CA8"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Synuclein is genetically linked to Parkinson’s disease</w:t>
      </w:r>
    </w:p>
    <w:p w14:paraId="110050E4"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Aggregation is important in the disease process (see Lewy bodies)</w:t>
      </w:r>
    </w:p>
    <w:p w14:paraId="542BF5B9"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Seeding mechanism</w:t>
      </w:r>
    </w:p>
    <w:p w14:paraId="357E8B35" w14:textId="77777777" w:rsidR="00963ECA" w:rsidRPr="00963ECA" w:rsidRDefault="00963ECA" w:rsidP="00963ECA">
      <w:pPr>
        <w:pStyle w:val="ListParagraph"/>
        <w:numPr>
          <w:ilvl w:val="2"/>
          <w:numId w:val="17"/>
        </w:numPr>
        <w:spacing w:after="200" w:line="240" w:lineRule="auto"/>
        <w:ind w:left="1418" w:hanging="142"/>
        <w:contextualSpacing w:val="0"/>
        <w:jc w:val="both"/>
        <w:rPr>
          <w:rFonts w:ascii="Arial" w:hAnsi="Arial" w:cs="Arial"/>
          <w:lang w:val="en-US"/>
        </w:rPr>
      </w:pPr>
      <w:r w:rsidRPr="00963ECA">
        <w:rPr>
          <w:rFonts w:ascii="Arial" w:hAnsi="Arial" w:cs="Arial"/>
          <w:lang w:val="en-US"/>
        </w:rPr>
        <w:t>Prion-like propagation of the synuclein pathology</w:t>
      </w:r>
    </w:p>
    <w:p w14:paraId="52AF314A"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What could be the reasons why nigral dopaminergic neurons degenerate and not the neurons located in the striatum, at the site of fibril injection?</w:t>
      </w:r>
    </w:p>
    <w:p w14:paraId="2602D733" w14:textId="77777777" w:rsidR="00963ECA" w:rsidRPr="00963ECA" w:rsidRDefault="00963ECA" w:rsidP="00963ECA">
      <w:pPr>
        <w:pStyle w:val="ListParagraph"/>
        <w:numPr>
          <w:ilvl w:val="2"/>
          <w:numId w:val="40"/>
        </w:numPr>
        <w:spacing w:after="200" w:line="240" w:lineRule="auto"/>
        <w:ind w:left="1418" w:hanging="142"/>
        <w:jc w:val="both"/>
        <w:rPr>
          <w:rFonts w:ascii="Arial" w:hAnsi="Arial" w:cs="Arial"/>
          <w:lang w:val="en-US"/>
        </w:rPr>
      </w:pPr>
      <w:r w:rsidRPr="00963ECA">
        <w:rPr>
          <w:rFonts w:ascii="Arial" w:hAnsi="Arial" w:cs="Arial"/>
          <w:lang w:val="en-US"/>
        </w:rPr>
        <w:t>Retrograde prion-like mechanism leading to the seeding of synuclein aggregation in the substantia nigra</w:t>
      </w:r>
    </w:p>
    <w:p w14:paraId="560687E8" w14:textId="77777777" w:rsidR="00963ECA" w:rsidRPr="00963ECA" w:rsidRDefault="00963ECA" w:rsidP="00963ECA">
      <w:pPr>
        <w:pStyle w:val="ListParagraph"/>
        <w:numPr>
          <w:ilvl w:val="2"/>
          <w:numId w:val="40"/>
        </w:numPr>
        <w:spacing w:after="200" w:line="240" w:lineRule="auto"/>
        <w:ind w:left="1418" w:hanging="142"/>
        <w:jc w:val="both"/>
        <w:rPr>
          <w:rFonts w:ascii="Arial" w:hAnsi="Arial" w:cs="Arial"/>
          <w:lang w:val="en-US"/>
        </w:rPr>
      </w:pPr>
      <w:r w:rsidRPr="00963ECA">
        <w:rPr>
          <w:rFonts w:ascii="Arial" w:hAnsi="Arial" w:cs="Arial"/>
          <w:lang w:val="en-US"/>
        </w:rPr>
        <w:t xml:space="preserve">Nigral neurons are more vulnerable to synuclein pathology (morphology, metabolism, ROS, </w:t>
      </w:r>
      <w:proofErr w:type="spellStart"/>
      <w:r w:rsidRPr="00963ECA">
        <w:rPr>
          <w:rFonts w:ascii="Arial" w:hAnsi="Arial" w:cs="Arial"/>
          <w:lang w:val="en-US"/>
        </w:rPr>
        <w:t>etc</w:t>
      </w:r>
      <w:proofErr w:type="spellEnd"/>
      <w:r w:rsidRPr="00963ECA">
        <w:rPr>
          <w:rFonts w:ascii="Arial" w:hAnsi="Arial" w:cs="Arial"/>
          <w:lang w:val="en-US"/>
        </w:rPr>
        <w:t>)</w:t>
      </w:r>
    </w:p>
    <w:p w14:paraId="5398BAF4" w14:textId="77777777" w:rsidR="00963ECA" w:rsidRPr="00963ECA" w:rsidRDefault="00963ECA" w:rsidP="00DF55D9">
      <w:pPr>
        <w:pStyle w:val="ListParagraph"/>
        <w:numPr>
          <w:ilvl w:val="2"/>
          <w:numId w:val="40"/>
        </w:numPr>
        <w:spacing w:after="200" w:line="240" w:lineRule="auto"/>
        <w:ind w:left="1418" w:hanging="142"/>
        <w:contextualSpacing w:val="0"/>
        <w:jc w:val="both"/>
        <w:rPr>
          <w:rFonts w:ascii="Arial" w:hAnsi="Arial" w:cs="Arial"/>
          <w:lang w:val="en-US"/>
        </w:rPr>
      </w:pPr>
      <w:r w:rsidRPr="00963ECA">
        <w:rPr>
          <w:rFonts w:ascii="Arial" w:hAnsi="Arial" w:cs="Arial"/>
          <w:lang w:val="en-US"/>
        </w:rPr>
        <w:t>Dopamine may contribute to synuclein aggregation and toxicity</w:t>
      </w:r>
    </w:p>
    <w:p w14:paraId="2548FD28"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Explain why this animal model could be valuable to assess the effects of candidate treatments on the progression of Parkinson’s disease.</w:t>
      </w:r>
    </w:p>
    <w:p w14:paraId="7C24AB30"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Reflects the mechanism of synuclein aggregation</w:t>
      </w:r>
    </w:p>
    <w:p w14:paraId="25C85177"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Could be used to assess the efficacy of compounds targeting the propagation of synuclein pathology</w:t>
      </w:r>
    </w:p>
    <w:p w14:paraId="10EA13FB"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Model reasonably close to the Parkinson’s pathology: nigral degeneration, synuclein pathology, motor symptoms</w:t>
      </w:r>
    </w:p>
    <w:p w14:paraId="3CB69D10" w14:textId="77777777" w:rsidR="00963ECA" w:rsidRDefault="00963ECA" w:rsidP="00963ECA">
      <w:pPr>
        <w:pStyle w:val="NoSpacing"/>
        <w:jc w:val="both"/>
        <w:rPr>
          <w:rFonts w:ascii="Arial" w:hAnsi="Arial" w:cs="Arial"/>
          <w:bCs/>
          <w:lang w:val="en-US"/>
        </w:rPr>
      </w:pPr>
    </w:p>
    <w:p w14:paraId="1D564523" w14:textId="77777777" w:rsidR="00963ECA" w:rsidRPr="00DF55D9" w:rsidRDefault="00963ECA" w:rsidP="00963ECA">
      <w:pPr>
        <w:pStyle w:val="NoSpacing"/>
        <w:spacing w:after="120"/>
        <w:jc w:val="both"/>
        <w:rPr>
          <w:rFonts w:ascii="Arial" w:hAnsi="Arial" w:cs="Arial"/>
          <w:b/>
          <w:bCs/>
          <w:lang w:val="en-US" w:eastAsia="fr-FR"/>
        </w:rPr>
      </w:pPr>
      <w:r w:rsidRPr="00DF55D9">
        <w:rPr>
          <w:rFonts w:ascii="Arial" w:hAnsi="Arial" w:cs="Arial"/>
          <w:b/>
          <w:bCs/>
          <w:lang w:val="en-US" w:eastAsia="fr-FR"/>
        </w:rPr>
        <w:t>7) Motor neuron disease - Gene therapy</w:t>
      </w:r>
    </w:p>
    <w:p w14:paraId="1A4EBFB1"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What are the main clinical features of spinal muscular atrophy (SMA)?</w:t>
      </w:r>
    </w:p>
    <w:p w14:paraId="5A1CA1CC" w14:textId="77777777" w:rsidR="00963ECA" w:rsidRPr="00963ECA" w:rsidRDefault="00963ECA" w:rsidP="00DF55D9">
      <w:pPr>
        <w:pStyle w:val="ListParagraph"/>
        <w:numPr>
          <w:ilvl w:val="2"/>
          <w:numId w:val="45"/>
        </w:numPr>
        <w:spacing w:after="200" w:line="240" w:lineRule="auto"/>
        <w:ind w:left="1418" w:hanging="142"/>
        <w:jc w:val="both"/>
        <w:rPr>
          <w:rFonts w:ascii="Arial" w:hAnsi="Arial" w:cs="Arial"/>
          <w:lang w:val="en-US"/>
        </w:rPr>
      </w:pPr>
      <w:r w:rsidRPr="00963ECA">
        <w:rPr>
          <w:rFonts w:ascii="Arial" w:hAnsi="Arial" w:cs="Arial"/>
          <w:lang w:val="en-US"/>
        </w:rPr>
        <w:t>SMA is a motor neuron disorder affecting infants, general lack of muscle tone, weakness, typically fatal within a couple years in its most severe form.</w:t>
      </w:r>
    </w:p>
    <w:p w14:paraId="1777E74E" w14:textId="77777777" w:rsidR="00963ECA" w:rsidRPr="00963ECA" w:rsidRDefault="00963ECA" w:rsidP="00DF55D9">
      <w:pPr>
        <w:pStyle w:val="ListParagraph"/>
        <w:numPr>
          <w:ilvl w:val="2"/>
          <w:numId w:val="45"/>
        </w:numPr>
        <w:spacing w:after="200" w:line="240" w:lineRule="auto"/>
        <w:ind w:left="1418" w:hanging="142"/>
        <w:contextualSpacing w:val="0"/>
        <w:jc w:val="both"/>
        <w:rPr>
          <w:rFonts w:ascii="Arial" w:hAnsi="Arial" w:cs="Arial"/>
          <w:lang w:val="en-US"/>
        </w:rPr>
      </w:pPr>
      <w:r w:rsidRPr="00963ECA">
        <w:rPr>
          <w:rFonts w:ascii="Arial" w:hAnsi="Arial" w:cs="Arial"/>
          <w:lang w:val="en-US"/>
        </w:rPr>
        <w:t>Pathology: degeneration of lower motoneurons, muscle atrophy.</w:t>
      </w:r>
    </w:p>
    <w:p w14:paraId="6DF146CB"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What is the main cause of SMA?</w:t>
      </w:r>
    </w:p>
    <w:p w14:paraId="5C35C112" w14:textId="77777777" w:rsidR="00963ECA" w:rsidRPr="00963ECA" w:rsidRDefault="00963ECA" w:rsidP="00DF55D9">
      <w:pPr>
        <w:pStyle w:val="ListParagraph"/>
        <w:numPr>
          <w:ilvl w:val="2"/>
          <w:numId w:val="46"/>
        </w:numPr>
        <w:spacing w:after="200" w:line="240" w:lineRule="auto"/>
        <w:ind w:left="1418" w:hanging="142"/>
        <w:jc w:val="both"/>
        <w:rPr>
          <w:rFonts w:ascii="Arial" w:hAnsi="Arial" w:cs="Arial"/>
          <w:lang w:val="en-US"/>
        </w:rPr>
      </w:pPr>
      <w:r w:rsidRPr="00963ECA">
        <w:rPr>
          <w:rFonts w:ascii="Arial" w:hAnsi="Arial" w:cs="Arial"/>
          <w:lang w:val="en-US"/>
        </w:rPr>
        <w:t>SMA is a recessive genetic disorder caused by the loss of SMN1 function, loss of function of the SMN complex is the cause of the disease.</w:t>
      </w:r>
    </w:p>
    <w:p w14:paraId="153CBBF7" w14:textId="77777777" w:rsidR="00963ECA" w:rsidRPr="00963ECA" w:rsidRDefault="00963ECA" w:rsidP="00DF55D9">
      <w:pPr>
        <w:pStyle w:val="ListParagraph"/>
        <w:numPr>
          <w:ilvl w:val="2"/>
          <w:numId w:val="46"/>
        </w:numPr>
        <w:spacing w:after="200" w:line="240" w:lineRule="auto"/>
        <w:ind w:left="1418" w:hanging="142"/>
        <w:contextualSpacing w:val="0"/>
        <w:jc w:val="both"/>
        <w:rPr>
          <w:rFonts w:ascii="Arial" w:hAnsi="Arial" w:cs="Arial"/>
          <w:lang w:val="en-US"/>
        </w:rPr>
      </w:pPr>
      <w:r w:rsidRPr="00963ECA">
        <w:rPr>
          <w:rFonts w:ascii="Arial" w:hAnsi="Arial" w:cs="Arial"/>
          <w:lang w:val="en-US"/>
        </w:rPr>
        <w:t>SMN complex is involved in splicing and axonal transport of mRNAs.</w:t>
      </w:r>
    </w:p>
    <w:p w14:paraId="56039FD6"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Why is disease severity very variable between SMA patients?</w:t>
      </w:r>
    </w:p>
    <w:p w14:paraId="6417BBEB" w14:textId="77777777" w:rsidR="00963ECA" w:rsidRPr="00963ECA" w:rsidRDefault="00963ECA" w:rsidP="00DF55D9">
      <w:pPr>
        <w:pStyle w:val="ListParagraph"/>
        <w:numPr>
          <w:ilvl w:val="2"/>
          <w:numId w:val="47"/>
        </w:numPr>
        <w:spacing w:after="200" w:line="240" w:lineRule="auto"/>
        <w:ind w:left="1418" w:hanging="142"/>
        <w:jc w:val="both"/>
        <w:rPr>
          <w:rFonts w:ascii="Arial" w:hAnsi="Arial" w:cs="Arial"/>
          <w:lang w:val="en-US"/>
        </w:rPr>
      </w:pPr>
      <w:r w:rsidRPr="00963ECA">
        <w:rPr>
          <w:rFonts w:ascii="Arial" w:hAnsi="Arial" w:cs="Arial"/>
          <w:lang w:val="en-US"/>
        </w:rPr>
        <w:lastRenderedPageBreak/>
        <w:t>In humans, a second copy of the SMN gene exists, named SMN2.</w:t>
      </w:r>
    </w:p>
    <w:p w14:paraId="7D9104C7" w14:textId="77777777" w:rsidR="00963ECA" w:rsidRPr="00963ECA" w:rsidRDefault="00963ECA" w:rsidP="00DF55D9">
      <w:pPr>
        <w:pStyle w:val="ListParagraph"/>
        <w:numPr>
          <w:ilvl w:val="2"/>
          <w:numId w:val="47"/>
        </w:numPr>
        <w:spacing w:after="200" w:line="240" w:lineRule="auto"/>
        <w:ind w:left="1418" w:hanging="142"/>
        <w:jc w:val="both"/>
        <w:rPr>
          <w:rFonts w:ascii="Arial" w:hAnsi="Arial" w:cs="Arial"/>
          <w:lang w:val="en-US"/>
        </w:rPr>
      </w:pPr>
      <w:r w:rsidRPr="00963ECA">
        <w:rPr>
          <w:rFonts w:ascii="Arial" w:hAnsi="Arial" w:cs="Arial"/>
          <w:lang w:val="en-US"/>
        </w:rPr>
        <w:t>SMN2 carries a C/T substitution in Exon 7, leading to aberrant splicing. Aberrantly spliced form of SMN2 is less stable and cannot efficiently incorporate into the SMN complex.</w:t>
      </w:r>
    </w:p>
    <w:p w14:paraId="3F714167" w14:textId="77777777" w:rsidR="00963ECA" w:rsidRPr="00963ECA" w:rsidRDefault="00963ECA" w:rsidP="00DF55D9">
      <w:pPr>
        <w:pStyle w:val="ListParagraph"/>
        <w:numPr>
          <w:ilvl w:val="2"/>
          <w:numId w:val="47"/>
        </w:numPr>
        <w:spacing w:after="200" w:line="240" w:lineRule="auto"/>
        <w:ind w:left="1418" w:hanging="142"/>
        <w:contextualSpacing w:val="0"/>
        <w:jc w:val="both"/>
        <w:rPr>
          <w:rFonts w:ascii="Arial" w:hAnsi="Arial" w:cs="Arial"/>
          <w:lang w:val="en-US"/>
        </w:rPr>
      </w:pPr>
      <w:r w:rsidRPr="00963ECA">
        <w:rPr>
          <w:rFonts w:ascii="Arial" w:hAnsi="Arial" w:cs="Arial"/>
          <w:lang w:val="en-US"/>
        </w:rPr>
        <w:t>Humans carry different numbers of copies of the SMN2 gene, which leads to variability in the severity of the disease (type I – type IV). However, SMN2 cannot fully complement SMN function.</w:t>
      </w:r>
    </w:p>
    <w:p w14:paraId="76E6D0AD"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Explain a gene therapy approach that could be used for the treatment of SMA.</w:t>
      </w:r>
    </w:p>
    <w:p w14:paraId="0FE068E6"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 overexpression of the SMN protein using a viral vector.</w:t>
      </w:r>
    </w:p>
    <w:p w14:paraId="2F24F056"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II: administration of a small RNA which could influence the splicing of SMN2, favoring the production of a SMN protein containing exon 7.</w:t>
      </w:r>
    </w:p>
    <w:p w14:paraId="3724D03C"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III: gene editing (base editing) to correct SMN2 splicing.</w:t>
      </w:r>
    </w:p>
    <w:p w14:paraId="39879048" w14:textId="77777777" w:rsidR="00963ECA" w:rsidRDefault="00963ECA" w:rsidP="00963ECA">
      <w:pPr>
        <w:pStyle w:val="NoSpacing"/>
        <w:jc w:val="both"/>
        <w:rPr>
          <w:rFonts w:ascii="Arial" w:hAnsi="Arial" w:cs="Arial"/>
          <w:bCs/>
          <w:lang w:val="en-US"/>
        </w:rPr>
      </w:pPr>
    </w:p>
    <w:p w14:paraId="23EF6401" w14:textId="77777777" w:rsidR="00963ECA" w:rsidRPr="00963ECA" w:rsidRDefault="00963ECA" w:rsidP="00963ECA">
      <w:pPr>
        <w:pStyle w:val="NoSpacing"/>
        <w:jc w:val="both"/>
        <w:rPr>
          <w:rFonts w:ascii="Arial" w:hAnsi="Arial" w:cs="Arial"/>
          <w:bCs/>
          <w:lang w:val="en-US"/>
        </w:rPr>
      </w:pPr>
    </w:p>
    <w:p w14:paraId="502964CF" w14:textId="77777777" w:rsidR="00963ECA" w:rsidRDefault="00963ECA" w:rsidP="00963ECA">
      <w:pPr>
        <w:pStyle w:val="NoSpacing"/>
        <w:jc w:val="both"/>
        <w:rPr>
          <w:rFonts w:ascii="Arial" w:hAnsi="Arial" w:cs="Arial"/>
          <w:bCs/>
          <w:iCs/>
          <w:lang w:val="en-US"/>
        </w:rPr>
      </w:pPr>
    </w:p>
    <w:p w14:paraId="1A09C5AF" w14:textId="77777777" w:rsidR="00963ECA" w:rsidRPr="005B37EE" w:rsidRDefault="00963ECA" w:rsidP="00963ECA">
      <w:pPr>
        <w:pStyle w:val="NoSpacing"/>
        <w:jc w:val="both"/>
        <w:rPr>
          <w:rFonts w:ascii="Arial" w:hAnsi="Arial" w:cs="Arial"/>
          <w:bCs/>
          <w:iCs/>
          <w:lang w:val="en-US"/>
        </w:rPr>
      </w:pPr>
    </w:p>
    <w:p w14:paraId="5D188D51" w14:textId="77777777" w:rsidR="005B37EE" w:rsidRPr="005B37EE" w:rsidRDefault="005B37EE" w:rsidP="005B37EE">
      <w:pPr>
        <w:pStyle w:val="NoSpacing"/>
        <w:rPr>
          <w:rFonts w:ascii="Arial" w:hAnsi="Arial" w:cs="Arial"/>
          <w:bCs/>
          <w:iCs/>
          <w:lang w:val="en-US"/>
        </w:rPr>
      </w:pPr>
    </w:p>
    <w:p w14:paraId="58B39394" w14:textId="77777777" w:rsidR="005B37EE" w:rsidRPr="005B37EE" w:rsidRDefault="005B37EE" w:rsidP="005B37EE">
      <w:pPr>
        <w:pStyle w:val="NoSpacing"/>
        <w:jc w:val="both"/>
        <w:rPr>
          <w:rFonts w:ascii="Arial" w:hAnsi="Arial" w:cs="Arial"/>
          <w:bCs/>
          <w:iCs/>
          <w:lang w:val="en-US"/>
        </w:rPr>
      </w:pPr>
    </w:p>
    <w:p w14:paraId="08205A39" w14:textId="77777777" w:rsidR="005B37EE" w:rsidRPr="005B37EE" w:rsidRDefault="005B37EE" w:rsidP="00EB71A5">
      <w:pPr>
        <w:pStyle w:val="NoSpacing"/>
        <w:jc w:val="both"/>
        <w:rPr>
          <w:rFonts w:ascii="Arial" w:hAnsi="Arial" w:cs="Arial"/>
          <w:lang w:val="en-US"/>
        </w:rPr>
      </w:pPr>
    </w:p>
    <w:p w14:paraId="5CEF9720" w14:textId="152D896B" w:rsidR="00EB71A5" w:rsidRDefault="00EB71A5">
      <w:pPr>
        <w:rPr>
          <w:lang w:val="en-GB"/>
        </w:rPr>
      </w:pPr>
    </w:p>
    <w:p w14:paraId="0EFD9488" w14:textId="77777777" w:rsidR="00EB71A5" w:rsidRPr="00EB71A5" w:rsidRDefault="00EB71A5">
      <w:pPr>
        <w:rPr>
          <w:lang w:val="en-GB"/>
        </w:rPr>
      </w:pPr>
    </w:p>
    <w:sectPr w:rsidR="00EB71A5" w:rsidRPr="00EB71A5" w:rsidSect="00E6504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3CBD" w14:textId="77777777" w:rsidR="00BA1F73" w:rsidRDefault="00BA1F73" w:rsidP="00DF55D9">
      <w:pPr>
        <w:spacing w:after="0" w:line="240" w:lineRule="auto"/>
      </w:pPr>
      <w:r>
        <w:separator/>
      </w:r>
    </w:p>
  </w:endnote>
  <w:endnote w:type="continuationSeparator" w:id="0">
    <w:p w14:paraId="6D710992" w14:textId="77777777" w:rsidR="00BA1F73" w:rsidRDefault="00BA1F73" w:rsidP="00DF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322379"/>
      <w:docPartObj>
        <w:docPartGallery w:val="Page Numbers (Bottom of Page)"/>
        <w:docPartUnique/>
      </w:docPartObj>
    </w:sdtPr>
    <w:sdtContent>
      <w:p w14:paraId="0467EEEB" w14:textId="584B5167"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765C5" w14:textId="77777777" w:rsidR="00DF55D9" w:rsidRDefault="00DF55D9" w:rsidP="00DF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4228243"/>
      <w:docPartObj>
        <w:docPartGallery w:val="Page Numbers (Bottom of Page)"/>
        <w:docPartUnique/>
      </w:docPartObj>
    </w:sdtPr>
    <w:sdtContent>
      <w:p w14:paraId="3D90B463" w14:textId="616C5F0E"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CC49B90" w14:textId="77777777" w:rsidR="00DF55D9" w:rsidRDefault="00DF55D9" w:rsidP="00DF5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D840" w14:textId="77777777" w:rsidR="00BA1F73" w:rsidRDefault="00BA1F73" w:rsidP="00DF55D9">
      <w:pPr>
        <w:spacing w:after="0" w:line="240" w:lineRule="auto"/>
      </w:pPr>
      <w:r>
        <w:separator/>
      </w:r>
    </w:p>
  </w:footnote>
  <w:footnote w:type="continuationSeparator" w:id="0">
    <w:p w14:paraId="69246B9D" w14:textId="77777777" w:rsidR="00BA1F73" w:rsidRDefault="00BA1F73" w:rsidP="00DF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246"/>
    <w:multiLevelType w:val="hybridMultilevel"/>
    <w:tmpl w:val="6082F322"/>
    <w:lvl w:ilvl="0" w:tplc="FFFFFFFF">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36BF0"/>
    <w:multiLevelType w:val="hybridMultilevel"/>
    <w:tmpl w:val="C38695FA"/>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A38B1"/>
    <w:multiLevelType w:val="hybridMultilevel"/>
    <w:tmpl w:val="17C40A36"/>
    <w:lvl w:ilvl="0" w:tplc="112E94F6">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6E6D55"/>
    <w:multiLevelType w:val="multilevel"/>
    <w:tmpl w:val="C5409F8A"/>
    <w:styleLink w:val="Listeactuelle1"/>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F086C"/>
    <w:multiLevelType w:val="hybridMultilevel"/>
    <w:tmpl w:val="77A2EEC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B16C19D4">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1F281A"/>
    <w:multiLevelType w:val="hybridMultilevel"/>
    <w:tmpl w:val="70DE509E"/>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36D45"/>
    <w:multiLevelType w:val="hybridMultilevel"/>
    <w:tmpl w:val="C5409F8A"/>
    <w:lvl w:ilvl="0" w:tplc="8F728178">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5F50"/>
    <w:multiLevelType w:val="multilevel"/>
    <w:tmpl w:val="79A8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C5651"/>
    <w:multiLevelType w:val="hybridMultilevel"/>
    <w:tmpl w:val="A11C556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25EE6259"/>
    <w:multiLevelType w:val="multilevel"/>
    <w:tmpl w:val="589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13FDC"/>
    <w:multiLevelType w:val="multilevel"/>
    <w:tmpl w:val="1FC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23FE8"/>
    <w:multiLevelType w:val="hybridMultilevel"/>
    <w:tmpl w:val="69F4126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D1475"/>
    <w:multiLevelType w:val="multilevel"/>
    <w:tmpl w:val="E59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34B20"/>
    <w:multiLevelType w:val="hybridMultilevel"/>
    <w:tmpl w:val="B8CAA2DE"/>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39F70610"/>
    <w:multiLevelType w:val="hybridMultilevel"/>
    <w:tmpl w:val="799026F8"/>
    <w:lvl w:ilvl="0" w:tplc="481E12B2">
      <w:start w:val="1"/>
      <w:numFmt w:val="lowerLetter"/>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5" w15:restartNumberingAfterBreak="0">
    <w:nsid w:val="3A2E4870"/>
    <w:multiLevelType w:val="hybridMultilevel"/>
    <w:tmpl w:val="9DA653D8"/>
    <w:lvl w:ilvl="0" w:tplc="FDB825B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CD164E"/>
    <w:multiLevelType w:val="multilevel"/>
    <w:tmpl w:val="C38695FA"/>
    <w:styleLink w:val="Listeactuelle3"/>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D4B65"/>
    <w:multiLevelType w:val="multilevel"/>
    <w:tmpl w:val="605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078A0"/>
    <w:multiLevelType w:val="hybridMultilevel"/>
    <w:tmpl w:val="3788A9FA"/>
    <w:lvl w:ilvl="0" w:tplc="FFFFFFFF">
      <w:start w:val="1"/>
      <w:numFmt w:val="lowerLetter"/>
      <w:lvlText w:val="(%1)"/>
      <w:lvlJc w:val="left"/>
      <w:pPr>
        <w:ind w:left="720" w:hanging="360"/>
      </w:pPr>
      <w:rPr>
        <w:rFonts w:hint="default"/>
      </w:rPr>
    </w:lvl>
    <w:lvl w:ilvl="1" w:tplc="30B6376C">
      <w:start w:val="1"/>
      <w:numFmt w:val="lowerLetter"/>
      <w:lvlText w:val="(%2)"/>
      <w:lvlJc w:val="left"/>
      <w:pPr>
        <w:ind w:left="10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F261C"/>
    <w:multiLevelType w:val="multilevel"/>
    <w:tmpl w:val="803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E44AC"/>
    <w:multiLevelType w:val="multilevel"/>
    <w:tmpl w:val="834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C51CF"/>
    <w:multiLevelType w:val="hybridMultilevel"/>
    <w:tmpl w:val="931C03D6"/>
    <w:lvl w:ilvl="0" w:tplc="FFFFFFFF">
      <w:start w:val="1"/>
      <w:numFmt w:val="lowerLetter"/>
      <w:lvlText w:val="(%1)"/>
      <w:lvlJc w:val="left"/>
      <w:pPr>
        <w:ind w:left="1098" w:hanging="360"/>
      </w:pPr>
      <w:rPr>
        <w:rFonts w:hint="default"/>
      </w:rPr>
    </w:lvl>
    <w:lvl w:ilvl="1" w:tplc="040C0017">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22" w15:restartNumberingAfterBreak="0">
    <w:nsid w:val="4A76677C"/>
    <w:multiLevelType w:val="multilevel"/>
    <w:tmpl w:val="70DE509E"/>
    <w:styleLink w:val="Listeactuelle4"/>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B2626A"/>
    <w:multiLevelType w:val="hybridMultilevel"/>
    <w:tmpl w:val="3AA09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EF078D"/>
    <w:multiLevelType w:val="hybridMultilevel"/>
    <w:tmpl w:val="EC7CFE84"/>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C0843"/>
    <w:multiLevelType w:val="multilevel"/>
    <w:tmpl w:val="35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953DE"/>
    <w:multiLevelType w:val="hybridMultilevel"/>
    <w:tmpl w:val="65CE0988"/>
    <w:lvl w:ilvl="0" w:tplc="30B6376C">
      <w:start w:val="1"/>
      <w:numFmt w:val="lowerLetter"/>
      <w:lvlText w:val="(%1)"/>
      <w:lvlJc w:val="left"/>
      <w:pPr>
        <w:ind w:left="1098" w:hanging="360"/>
      </w:pPr>
      <w:rPr>
        <w:rFonts w:hint="default"/>
      </w:rPr>
    </w:lvl>
    <w:lvl w:ilvl="1" w:tplc="040C0019">
      <w:start w:val="1"/>
      <w:numFmt w:val="lowerLetter"/>
      <w:lvlText w:val="%2."/>
      <w:lvlJc w:val="left"/>
      <w:pPr>
        <w:ind w:left="1818" w:hanging="360"/>
      </w:pPr>
    </w:lvl>
    <w:lvl w:ilvl="2" w:tplc="040C001B" w:tentative="1">
      <w:start w:val="1"/>
      <w:numFmt w:val="lowerRoman"/>
      <w:lvlText w:val="%3."/>
      <w:lvlJc w:val="right"/>
      <w:pPr>
        <w:ind w:left="2538" w:hanging="180"/>
      </w:pPr>
    </w:lvl>
    <w:lvl w:ilvl="3" w:tplc="040C000F" w:tentative="1">
      <w:start w:val="1"/>
      <w:numFmt w:val="decimal"/>
      <w:lvlText w:val="%4."/>
      <w:lvlJc w:val="left"/>
      <w:pPr>
        <w:ind w:left="3258" w:hanging="360"/>
      </w:pPr>
    </w:lvl>
    <w:lvl w:ilvl="4" w:tplc="040C0019" w:tentative="1">
      <w:start w:val="1"/>
      <w:numFmt w:val="lowerLetter"/>
      <w:lvlText w:val="%5."/>
      <w:lvlJc w:val="left"/>
      <w:pPr>
        <w:ind w:left="3978" w:hanging="360"/>
      </w:pPr>
    </w:lvl>
    <w:lvl w:ilvl="5" w:tplc="040C001B" w:tentative="1">
      <w:start w:val="1"/>
      <w:numFmt w:val="lowerRoman"/>
      <w:lvlText w:val="%6."/>
      <w:lvlJc w:val="right"/>
      <w:pPr>
        <w:ind w:left="4698" w:hanging="180"/>
      </w:pPr>
    </w:lvl>
    <w:lvl w:ilvl="6" w:tplc="040C000F" w:tentative="1">
      <w:start w:val="1"/>
      <w:numFmt w:val="decimal"/>
      <w:lvlText w:val="%7."/>
      <w:lvlJc w:val="left"/>
      <w:pPr>
        <w:ind w:left="5418" w:hanging="360"/>
      </w:pPr>
    </w:lvl>
    <w:lvl w:ilvl="7" w:tplc="040C0019" w:tentative="1">
      <w:start w:val="1"/>
      <w:numFmt w:val="lowerLetter"/>
      <w:lvlText w:val="%8."/>
      <w:lvlJc w:val="left"/>
      <w:pPr>
        <w:ind w:left="6138" w:hanging="360"/>
      </w:pPr>
    </w:lvl>
    <w:lvl w:ilvl="8" w:tplc="040C001B" w:tentative="1">
      <w:start w:val="1"/>
      <w:numFmt w:val="lowerRoman"/>
      <w:lvlText w:val="%9."/>
      <w:lvlJc w:val="right"/>
      <w:pPr>
        <w:ind w:left="6858" w:hanging="180"/>
      </w:pPr>
    </w:lvl>
  </w:abstractNum>
  <w:abstractNum w:abstractNumId="27" w15:restartNumberingAfterBreak="0">
    <w:nsid w:val="50D12FD6"/>
    <w:multiLevelType w:val="hybridMultilevel"/>
    <w:tmpl w:val="CDAA774A"/>
    <w:lvl w:ilvl="0" w:tplc="040C001B">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55F78"/>
    <w:multiLevelType w:val="multilevel"/>
    <w:tmpl w:val="F30002F4"/>
    <w:styleLink w:val="Listeactuelle2"/>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C220C"/>
    <w:multiLevelType w:val="multilevel"/>
    <w:tmpl w:val="D66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C6BAD"/>
    <w:multiLevelType w:val="hybridMultilevel"/>
    <w:tmpl w:val="13481A8C"/>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23EC6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47664"/>
    <w:multiLevelType w:val="hybridMultilevel"/>
    <w:tmpl w:val="49DE163A"/>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8B7E0A4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36B0C"/>
    <w:multiLevelType w:val="hybridMultilevel"/>
    <w:tmpl w:val="0390210E"/>
    <w:lvl w:ilvl="0" w:tplc="6B6EB8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0700C"/>
    <w:multiLevelType w:val="hybridMultilevel"/>
    <w:tmpl w:val="B744579A"/>
    <w:lvl w:ilvl="0" w:tplc="FDB825B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C2A768B"/>
    <w:multiLevelType w:val="hybridMultilevel"/>
    <w:tmpl w:val="2554843E"/>
    <w:lvl w:ilvl="0" w:tplc="1532813E">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6A1B"/>
    <w:multiLevelType w:val="hybridMultilevel"/>
    <w:tmpl w:val="8D8490D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5F2135EC"/>
    <w:multiLevelType w:val="hybridMultilevel"/>
    <w:tmpl w:val="25C0A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88602E"/>
    <w:multiLevelType w:val="multilevel"/>
    <w:tmpl w:val="1D1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C02FB"/>
    <w:multiLevelType w:val="hybridMultilevel"/>
    <w:tmpl w:val="1752EDA8"/>
    <w:lvl w:ilvl="0" w:tplc="473C1908">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86501"/>
    <w:multiLevelType w:val="hybridMultilevel"/>
    <w:tmpl w:val="4DFC38FA"/>
    <w:lvl w:ilvl="0" w:tplc="3AECEB6A">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448E9"/>
    <w:multiLevelType w:val="hybridMultilevel"/>
    <w:tmpl w:val="D9564322"/>
    <w:lvl w:ilvl="0" w:tplc="563811AE">
      <w:start w:val="1"/>
      <w:numFmt w:val="lowerLetter"/>
      <w:lvlText w:val="(%1)"/>
      <w:lvlJc w:val="left"/>
      <w:pPr>
        <w:ind w:left="720"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3DB63F6"/>
    <w:multiLevelType w:val="hybridMultilevel"/>
    <w:tmpl w:val="7BC80376"/>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C03DAB"/>
    <w:multiLevelType w:val="multilevel"/>
    <w:tmpl w:val="0AA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32E43"/>
    <w:multiLevelType w:val="multilevel"/>
    <w:tmpl w:val="E88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84CB3"/>
    <w:multiLevelType w:val="hybridMultilevel"/>
    <w:tmpl w:val="8CD8B9DA"/>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79A03E54"/>
    <w:multiLevelType w:val="hybridMultilevel"/>
    <w:tmpl w:val="49303664"/>
    <w:lvl w:ilvl="0" w:tplc="B83A27FC">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D544A7"/>
    <w:multiLevelType w:val="multilevel"/>
    <w:tmpl w:val="0DC00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124EA"/>
    <w:multiLevelType w:val="hybridMultilevel"/>
    <w:tmpl w:val="E0EEAD8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37690022">
    <w:abstractNumId w:val="46"/>
  </w:num>
  <w:num w:numId="2" w16cid:durableId="692343268">
    <w:abstractNumId w:val="42"/>
  </w:num>
  <w:num w:numId="3" w16cid:durableId="868103037">
    <w:abstractNumId w:val="9"/>
  </w:num>
  <w:num w:numId="4" w16cid:durableId="201408497">
    <w:abstractNumId w:val="12"/>
  </w:num>
  <w:num w:numId="5" w16cid:durableId="1095050315">
    <w:abstractNumId w:val="7"/>
  </w:num>
  <w:num w:numId="6" w16cid:durableId="2089887210">
    <w:abstractNumId w:val="29"/>
  </w:num>
  <w:num w:numId="7" w16cid:durableId="167989267">
    <w:abstractNumId w:val="10"/>
  </w:num>
  <w:num w:numId="8" w16cid:durableId="1375613177">
    <w:abstractNumId w:val="45"/>
  </w:num>
  <w:num w:numId="9" w16cid:durableId="1944145458">
    <w:abstractNumId w:val="43"/>
  </w:num>
  <w:num w:numId="10" w16cid:durableId="626593034">
    <w:abstractNumId w:val="25"/>
  </w:num>
  <w:num w:numId="11" w16cid:durableId="84965320">
    <w:abstractNumId w:val="19"/>
  </w:num>
  <w:num w:numId="12" w16cid:durableId="2002268986">
    <w:abstractNumId w:val="20"/>
  </w:num>
  <w:num w:numId="13" w16cid:durableId="912159612">
    <w:abstractNumId w:val="37"/>
  </w:num>
  <w:num w:numId="14" w16cid:durableId="1471898718">
    <w:abstractNumId w:val="17"/>
  </w:num>
  <w:num w:numId="15" w16cid:durableId="1938366861">
    <w:abstractNumId w:val="36"/>
  </w:num>
  <w:num w:numId="16" w16cid:durableId="2077123060">
    <w:abstractNumId w:val="23"/>
  </w:num>
  <w:num w:numId="17" w16cid:durableId="504832576">
    <w:abstractNumId w:val="6"/>
  </w:num>
  <w:num w:numId="18" w16cid:durableId="1921716837">
    <w:abstractNumId w:val="15"/>
  </w:num>
  <w:num w:numId="19" w16cid:durableId="1922830720">
    <w:abstractNumId w:val="40"/>
  </w:num>
  <w:num w:numId="20" w16cid:durableId="1392120131">
    <w:abstractNumId w:val="33"/>
  </w:num>
  <w:num w:numId="21" w16cid:durableId="1274900546">
    <w:abstractNumId w:val="13"/>
  </w:num>
  <w:num w:numId="22" w16cid:durableId="1031951684">
    <w:abstractNumId w:val="44"/>
  </w:num>
  <w:num w:numId="23" w16cid:durableId="1328896898">
    <w:abstractNumId w:val="35"/>
  </w:num>
  <w:num w:numId="24" w16cid:durableId="1423332356">
    <w:abstractNumId w:val="47"/>
  </w:num>
  <w:num w:numId="25" w16cid:durableId="892272965">
    <w:abstractNumId w:val="8"/>
  </w:num>
  <w:num w:numId="26" w16cid:durableId="963077148">
    <w:abstractNumId w:val="32"/>
  </w:num>
  <w:num w:numId="27" w16cid:durableId="628322444">
    <w:abstractNumId w:val="3"/>
  </w:num>
  <w:num w:numId="28" w16cid:durableId="1190217887">
    <w:abstractNumId w:val="0"/>
  </w:num>
  <w:num w:numId="29" w16cid:durableId="375080309">
    <w:abstractNumId w:val="26"/>
  </w:num>
  <w:num w:numId="30" w16cid:durableId="993414657">
    <w:abstractNumId w:val="21"/>
  </w:num>
  <w:num w:numId="31" w16cid:durableId="1972786315">
    <w:abstractNumId w:val="18"/>
  </w:num>
  <w:num w:numId="32" w16cid:durableId="1127239654">
    <w:abstractNumId w:val="2"/>
  </w:num>
  <w:num w:numId="33" w16cid:durableId="884368058">
    <w:abstractNumId w:val="31"/>
  </w:num>
  <w:num w:numId="34" w16cid:durableId="2103451969">
    <w:abstractNumId w:val="30"/>
  </w:num>
  <w:num w:numId="35" w16cid:durableId="740248651">
    <w:abstractNumId w:val="14"/>
  </w:num>
  <w:num w:numId="36" w16cid:durableId="1877817009">
    <w:abstractNumId w:val="27"/>
  </w:num>
  <w:num w:numId="37" w16cid:durableId="169294866">
    <w:abstractNumId w:val="34"/>
  </w:num>
  <w:num w:numId="38" w16cid:durableId="1553612658">
    <w:abstractNumId w:val="38"/>
  </w:num>
  <w:num w:numId="39" w16cid:durableId="1352225750">
    <w:abstractNumId w:val="39"/>
  </w:num>
  <w:num w:numId="40" w16cid:durableId="674380379">
    <w:abstractNumId w:val="1"/>
  </w:num>
  <w:num w:numId="41" w16cid:durableId="985940199">
    <w:abstractNumId w:val="28"/>
  </w:num>
  <w:num w:numId="42" w16cid:durableId="1886024226">
    <w:abstractNumId w:val="16"/>
  </w:num>
  <w:num w:numId="43" w16cid:durableId="373238193">
    <w:abstractNumId w:val="5"/>
  </w:num>
  <w:num w:numId="44" w16cid:durableId="1349019556">
    <w:abstractNumId w:val="22"/>
  </w:num>
  <w:num w:numId="45" w16cid:durableId="1126585763">
    <w:abstractNumId w:val="4"/>
  </w:num>
  <w:num w:numId="46" w16cid:durableId="1637754926">
    <w:abstractNumId w:val="11"/>
  </w:num>
  <w:num w:numId="47" w16cid:durableId="261033011">
    <w:abstractNumId w:val="41"/>
  </w:num>
  <w:num w:numId="48" w16cid:durableId="1844394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MDM0MDM2MjY2NTVV0lEKTi0uzszPAykwrAUA75zypSwAAAA="/>
  </w:docVars>
  <w:rsids>
    <w:rsidRoot w:val="00981F63"/>
    <w:rsid w:val="00012B24"/>
    <w:rsid w:val="000F30EB"/>
    <w:rsid w:val="001F3485"/>
    <w:rsid w:val="00317419"/>
    <w:rsid w:val="005B37EE"/>
    <w:rsid w:val="00731692"/>
    <w:rsid w:val="007F62C1"/>
    <w:rsid w:val="00873A43"/>
    <w:rsid w:val="00963ECA"/>
    <w:rsid w:val="00981F63"/>
    <w:rsid w:val="009F6982"/>
    <w:rsid w:val="00B0605F"/>
    <w:rsid w:val="00BA1F73"/>
    <w:rsid w:val="00BF042D"/>
    <w:rsid w:val="00C76BF8"/>
    <w:rsid w:val="00D040D5"/>
    <w:rsid w:val="00D302DA"/>
    <w:rsid w:val="00DF55D9"/>
    <w:rsid w:val="00E530F0"/>
    <w:rsid w:val="00E65043"/>
    <w:rsid w:val="00E93F03"/>
    <w:rsid w:val="00EB71A5"/>
    <w:rsid w:val="00ED22FB"/>
    <w:rsid w:val="00F15074"/>
    <w:rsid w:val="00F679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51AAF"/>
  <w15:chartTrackingRefBased/>
  <w15:docId w15:val="{4938FC4A-C59C-43A5-ADD1-A938DF13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B71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F30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F63"/>
    <w:rPr>
      <w:b/>
      <w:bCs/>
    </w:rPr>
  </w:style>
  <w:style w:type="paragraph" w:styleId="NoSpacing">
    <w:name w:val="No Spacing"/>
    <w:uiPriority w:val="1"/>
    <w:qFormat/>
    <w:rsid w:val="00E530F0"/>
    <w:pPr>
      <w:spacing w:after="0" w:line="240" w:lineRule="auto"/>
    </w:pPr>
  </w:style>
  <w:style w:type="character" w:customStyle="1" w:styleId="Heading4Char">
    <w:name w:val="Heading 4 Char"/>
    <w:basedOn w:val="DefaultParagraphFont"/>
    <w:link w:val="Heading4"/>
    <w:uiPriority w:val="9"/>
    <w:rsid w:val="000F30EB"/>
    <w:rPr>
      <w:rFonts w:ascii="Times New Roman" w:eastAsia="Times New Roman" w:hAnsi="Times New Roman" w:cs="Times New Roman"/>
      <w:b/>
      <w:bCs/>
      <w:sz w:val="24"/>
      <w:szCs w:val="24"/>
      <w:lang w:eastAsia="fr-FR"/>
    </w:rPr>
  </w:style>
  <w:style w:type="paragraph" w:styleId="ListParagraph">
    <w:name w:val="List Paragraph"/>
    <w:basedOn w:val="Normal"/>
    <w:uiPriority w:val="34"/>
    <w:qFormat/>
    <w:rsid w:val="00EB71A5"/>
    <w:pPr>
      <w:ind w:left="720"/>
      <w:contextualSpacing/>
    </w:pPr>
  </w:style>
  <w:style w:type="character" w:customStyle="1" w:styleId="Heading3Char">
    <w:name w:val="Heading 3 Char"/>
    <w:basedOn w:val="DefaultParagraphFont"/>
    <w:link w:val="Heading3"/>
    <w:uiPriority w:val="9"/>
    <w:semiHidden/>
    <w:rsid w:val="00EB71A5"/>
    <w:rPr>
      <w:rFonts w:asciiTheme="majorHAnsi" w:eastAsiaTheme="majorEastAsia" w:hAnsiTheme="majorHAnsi" w:cstheme="majorBidi"/>
      <w:color w:val="1F3763" w:themeColor="accent1" w:themeShade="7F"/>
      <w:sz w:val="24"/>
      <w:szCs w:val="24"/>
    </w:rPr>
  </w:style>
  <w:style w:type="numbering" w:customStyle="1" w:styleId="Listeactuelle1">
    <w:name w:val="Liste actuelle1"/>
    <w:uiPriority w:val="99"/>
    <w:rsid w:val="00963ECA"/>
    <w:pPr>
      <w:numPr>
        <w:numId w:val="27"/>
      </w:numPr>
    </w:pPr>
  </w:style>
  <w:style w:type="numbering" w:customStyle="1" w:styleId="Listeactuelle2">
    <w:name w:val="Liste actuelle2"/>
    <w:uiPriority w:val="99"/>
    <w:rsid w:val="00963ECA"/>
    <w:pPr>
      <w:numPr>
        <w:numId w:val="41"/>
      </w:numPr>
    </w:pPr>
  </w:style>
  <w:style w:type="numbering" w:customStyle="1" w:styleId="Listeactuelle3">
    <w:name w:val="Liste actuelle3"/>
    <w:uiPriority w:val="99"/>
    <w:rsid w:val="00DF55D9"/>
    <w:pPr>
      <w:numPr>
        <w:numId w:val="42"/>
      </w:numPr>
    </w:pPr>
  </w:style>
  <w:style w:type="numbering" w:customStyle="1" w:styleId="Listeactuelle4">
    <w:name w:val="Liste actuelle4"/>
    <w:uiPriority w:val="99"/>
    <w:rsid w:val="00DF55D9"/>
    <w:pPr>
      <w:numPr>
        <w:numId w:val="44"/>
      </w:numPr>
    </w:pPr>
  </w:style>
  <w:style w:type="paragraph" w:styleId="Footer">
    <w:name w:val="footer"/>
    <w:basedOn w:val="Normal"/>
    <w:link w:val="FooterChar"/>
    <w:uiPriority w:val="99"/>
    <w:unhideWhenUsed/>
    <w:rsid w:val="00DF5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5D9"/>
  </w:style>
  <w:style w:type="character" w:styleId="PageNumber">
    <w:name w:val="page number"/>
    <w:basedOn w:val="DefaultParagraphFont"/>
    <w:uiPriority w:val="99"/>
    <w:semiHidden/>
    <w:unhideWhenUsed/>
    <w:rsid w:val="00DF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2280">
      <w:bodyDiv w:val="1"/>
      <w:marLeft w:val="0"/>
      <w:marRight w:val="0"/>
      <w:marTop w:val="0"/>
      <w:marBottom w:val="0"/>
      <w:divBdr>
        <w:top w:val="none" w:sz="0" w:space="0" w:color="auto"/>
        <w:left w:val="none" w:sz="0" w:space="0" w:color="auto"/>
        <w:bottom w:val="none" w:sz="0" w:space="0" w:color="auto"/>
        <w:right w:val="none" w:sz="0" w:space="0" w:color="auto"/>
      </w:divBdr>
    </w:div>
    <w:div w:id="979262938">
      <w:bodyDiv w:val="1"/>
      <w:marLeft w:val="0"/>
      <w:marRight w:val="0"/>
      <w:marTop w:val="0"/>
      <w:marBottom w:val="0"/>
      <w:divBdr>
        <w:top w:val="none" w:sz="0" w:space="0" w:color="auto"/>
        <w:left w:val="none" w:sz="0" w:space="0" w:color="auto"/>
        <w:bottom w:val="none" w:sz="0" w:space="0" w:color="auto"/>
        <w:right w:val="none" w:sz="0" w:space="0" w:color="auto"/>
      </w:divBdr>
    </w:div>
    <w:div w:id="1186165246">
      <w:bodyDiv w:val="1"/>
      <w:marLeft w:val="0"/>
      <w:marRight w:val="0"/>
      <w:marTop w:val="0"/>
      <w:marBottom w:val="0"/>
      <w:divBdr>
        <w:top w:val="none" w:sz="0" w:space="0" w:color="auto"/>
        <w:left w:val="none" w:sz="0" w:space="0" w:color="auto"/>
        <w:bottom w:val="none" w:sz="0" w:space="0" w:color="auto"/>
        <w:right w:val="none" w:sz="0" w:space="0" w:color="auto"/>
      </w:divBdr>
    </w:div>
    <w:div w:id="13608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2220</Words>
  <Characters>12659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Johannes Gräff</cp:lastModifiedBy>
  <cp:revision>2</cp:revision>
  <dcterms:created xsi:type="dcterms:W3CDTF">2025-12-15T09:53:00Z</dcterms:created>
  <dcterms:modified xsi:type="dcterms:W3CDTF">2025-12-15T09:53:00Z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dbb3cc00-7872-4b91-a176-fbfb2486731e</vt:lpwstr>
  </property>
</Properties>
</file>